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DA6" w:rsidRDefault="004E2BB1">
      <w:pPr>
        <w:pStyle w:val="Naslov1"/>
        <w:rPr>
          <w:rFonts w:ascii="Arial" w:hAnsi="Arial" w:cs="Arial"/>
          <w:sz w:val="30"/>
          <w:szCs w:val="30"/>
        </w:rPr>
      </w:pPr>
      <w:r>
        <w:rPr>
          <w:rFonts w:ascii="Arial" w:hAnsi="Arial" w:cs="Arial"/>
          <w:sz w:val="30"/>
          <w:szCs w:val="30"/>
        </w:rPr>
        <w:t>Projekt Nacionalna koordinacijska točka (NKT)</w:t>
      </w:r>
    </w:p>
    <w:p w:rsidR="00CE0DA6" w:rsidRDefault="004E2BB1">
      <w:pPr>
        <w:pStyle w:val="Naslov1"/>
        <w:rPr>
          <w:sz w:val="30"/>
          <w:szCs w:val="30"/>
        </w:rPr>
      </w:pPr>
      <w:r>
        <w:rPr>
          <w:noProof/>
          <w:sz w:val="30"/>
          <w:szCs w:val="30"/>
          <w:lang w:eastAsia="sl-SI"/>
        </w:rPr>
        <w:drawing>
          <wp:inline distT="0" distB="0" distL="0" distR="0">
            <wp:extent cx="1866900" cy="991791"/>
            <wp:effectExtent l="0" t="0" r="0" b="0"/>
            <wp:docPr id="1026" name="Slika 6" descr="logotip STASA S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6"/>
                    <pic:cNvPicPr/>
                  </pic:nvPicPr>
                  <pic:blipFill>
                    <a:blip r:embed="rId6" cstate="print"/>
                    <a:srcRect/>
                    <a:stretch/>
                  </pic:blipFill>
                  <pic:spPr>
                    <a:xfrm>
                      <a:off x="0" y="0"/>
                      <a:ext cx="1866900" cy="991791"/>
                    </a:xfrm>
                    <a:prstGeom prst="rect">
                      <a:avLst/>
                    </a:prstGeom>
                    <a:ln>
                      <a:noFill/>
                    </a:ln>
                  </pic:spPr>
                </pic:pic>
              </a:graphicData>
            </a:graphic>
          </wp:inline>
        </w:drawing>
      </w:r>
    </w:p>
    <w:p w:rsidR="00CE0DA6" w:rsidRDefault="00CE0DA6">
      <w:pPr>
        <w:shd w:val="clear" w:color="auto" w:fill="FFFFFF"/>
        <w:spacing w:after="0" w:line="240" w:lineRule="auto"/>
        <w:outlineLvl w:val="1"/>
        <w:rPr>
          <w:rFonts w:ascii="Arial" w:eastAsia="Times New Roman" w:hAnsi="Arial" w:cs="Arial"/>
          <w:color w:val="1F1F1F"/>
          <w:sz w:val="30"/>
          <w:szCs w:val="30"/>
          <w:lang w:eastAsia="sl-SI"/>
        </w:rPr>
      </w:pPr>
    </w:p>
    <w:p w:rsidR="00CE0DA6" w:rsidRDefault="004E2BB1">
      <w:pPr>
        <w:shd w:val="clear" w:color="auto" w:fill="FFFFFF"/>
        <w:spacing w:after="0" w:line="240" w:lineRule="auto"/>
        <w:outlineLvl w:val="1"/>
        <w:rPr>
          <w:rFonts w:ascii="Arial" w:eastAsia="Times New Roman" w:hAnsi="Arial" w:cs="Arial"/>
          <w:b/>
          <w:sz w:val="27"/>
          <w:szCs w:val="27"/>
          <w:lang w:eastAsia="sl-SI"/>
        </w:rPr>
      </w:pPr>
      <w:r>
        <w:rPr>
          <w:rFonts w:ascii="Arial" w:eastAsia="Times New Roman" w:hAnsi="Arial" w:cs="Arial"/>
          <w:b/>
          <w:sz w:val="27"/>
          <w:szCs w:val="27"/>
          <w:lang w:eastAsia="sl-SI"/>
        </w:rPr>
        <w:t>O projektu</w:t>
      </w:r>
    </w:p>
    <w:p w:rsidR="00CE0DA6" w:rsidRDefault="00CE0DA6">
      <w:pPr>
        <w:shd w:val="clear" w:color="auto" w:fill="FFFFFF"/>
        <w:spacing w:after="0" w:line="240" w:lineRule="auto"/>
        <w:outlineLvl w:val="1"/>
        <w:rPr>
          <w:rFonts w:ascii="Arial" w:eastAsia="Times New Roman" w:hAnsi="Arial" w:cs="Arial"/>
          <w:b/>
          <w:sz w:val="27"/>
          <w:szCs w:val="27"/>
          <w:lang w:eastAsia="sl-SI"/>
        </w:rPr>
      </w:pPr>
    </w:p>
    <w:p w:rsidR="00CE0DA6" w:rsidRDefault="004E2BB1">
      <w:pPr>
        <w:shd w:val="clear" w:color="auto" w:fill="FFFFFF"/>
        <w:spacing w:after="0" w:line="240" w:lineRule="auto"/>
        <w:rPr>
          <w:rFonts w:ascii="Arial" w:eastAsia="Times New Roman" w:hAnsi="Arial" w:cs="Arial"/>
          <w:sz w:val="21"/>
          <w:szCs w:val="21"/>
          <w:lang w:eastAsia="sl-SI"/>
        </w:rPr>
      </w:pPr>
      <w:r>
        <w:rPr>
          <w:rFonts w:ascii="Arial" w:eastAsia="Times New Roman" w:hAnsi="Arial" w:cs="Arial"/>
          <w:sz w:val="21"/>
          <w:szCs w:val="21"/>
          <w:lang w:eastAsia="sl-SI"/>
        </w:rPr>
        <w:t xml:space="preserve">Osrednja naloga projekta Nacionalne koordinacijske točke (NKT) je bila podpora dejavnosti vseživljenjske karierne orientacije (VKO), ki je pomembna za posameznike in družbo. </w:t>
      </w:r>
      <w:r>
        <w:rPr>
          <w:rFonts w:ascii="Arial" w:eastAsia="Times New Roman" w:hAnsi="Arial" w:cs="Arial"/>
          <w:sz w:val="21"/>
          <w:szCs w:val="21"/>
          <w:lang w:eastAsia="sl-SI"/>
        </w:rPr>
        <w:br/>
      </w:r>
    </w:p>
    <w:p w:rsidR="00CE0DA6" w:rsidRDefault="00A53672">
      <w:pPr>
        <w:shd w:val="clear" w:color="auto" w:fill="FFFFFF"/>
        <w:spacing w:after="0" w:line="240" w:lineRule="auto"/>
        <w:outlineLvl w:val="1"/>
        <w:rPr>
          <w:rFonts w:ascii="Arial" w:hAnsi="Arial" w:cs="Arial"/>
          <w:b/>
          <w:sz w:val="27"/>
          <w:szCs w:val="27"/>
          <w:lang w:eastAsia="sl-SI"/>
        </w:rPr>
      </w:pPr>
      <w:hyperlink r:id="rId7" w:history="1">
        <w:r w:rsidR="004E2BB1">
          <w:rPr>
            <w:rFonts w:ascii="Arial" w:hAnsi="Arial" w:cs="Arial"/>
            <w:b/>
            <w:sz w:val="27"/>
            <w:szCs w:val="27"/>
          </w:rPr>
          <w:t>Strokovna skupina za vseživljenjsko karierno orientacijo</w:t>
        </w:r>
      </w:hyperlink>
    </w:p>
    <w:p w:rsidR="00CE0DA6" w:rsidRDefault="00CE0DA6">
      <w:pPr>
        <w:shd w:val="clear" w:color="auto" w:fill="FFFFFF"/>
        <w:spacing w:after="0" w:line="240" w:lineRule="auto"/>
        <w:outlineLvl w:val="1"/>
        <w:rPr>
          <w:rFonts w:ascii="Arial" w:eastAsia="Times New Roman" w:hAnsi="Arial" w:cs="Arial"/>
          <w:b/>
          <w:sz w:val="27"/>
          <w:szCs w:val="27"/>
          <w:lang w:eastAsia="sl-SI"/>
        </w:rPr>
      </w:pPr>
    </w:p>
    <w:p w:rsidR="00CE0DA6" w:rsidRDefault="004E2BB1">
      <w:pPr>
        <w:shd w:val="clear" w:color="auto" w:fill="FFFFFF"/>
        <w:spacing w:after="0" w:line="240" w:lineRule="auto"/>
        <w:rPr>
          <w:rFonts w:ascii="Arial" w:eastAsia="Times New Roman" w:hAnsi="Arial" w:cs="Arial"/>
          <w:sz w:val="21"/>
          <w:szCs w:val="21"/>
          <w:lang w:eastAsia="sl-SI"/>
        </w:rPr>
      </w:pPr>
      <w:r>
        <w:rPr>
          <w:rFonts w:ascii="Arial" w:eastAsia="Times New Roman" w:hAnsi="Arial" w:cs="Arial"/>
          <w:sz w:val="21"/>
          <w:szCs w:val="21"/>
          <w:lang w:eastAsia="sl-SI"/>
        </w:rPr>
        <w:t xml:space="preserve">Zaposleni na projektu NKT VKO so tesno sodelovali z nacionalno Strokovno skupino za VKO, v katero so bili vključeni predstavniki politik in institucij s tega področja. </w:t>
      </w:r>
    </w:p>
    <w:p w:rsidR="00CE0DA6" w:rsidRDefault="00CE0DA6">
      <w:pPr>
        <w:shd w:val="clear" w:color="auto" w:fill="FFFFFF"/>
        <w:spacing w:after="0" w:line="240" w:lineRule="auto"/>
        <w:rPr>
          <w:rFonts w:ascii="Arial" w:eastAsia="Times New Roman" w:hAnsi="Arial" w:cs="Arial"/>
          <w:sz w:val="21"/>
          <w:szCs w:val="21"/>
          <w:lang w:eastAsia="sl-SI"/>
        </w:rPr>
      </w:pPr>
    </w:p>
    <w:p w:rsidR="00CE0DA6" w:rsidRDefault="004E2BB1">
      <w:pPr>
        <w:shd w:val="clear" w:color="auto" w:fill="FFFFFF"/>
        <w:spacing w:after="0" w:line="240" w:lineRule="auto"/>
        <w:outlineLvl w:val="1"/>
        <w:rPr>
          <w:rFonts w:ascii="Arial" w:eastAsia="Times New Roman" w:hAnsi="Arial" w:cs="Arial"/>
          <w:b/>
          <w:sz w:val="27"/>
          <w:szCs w:val="27"/>
          <w:lang w:eastAsia="sl-SI"/>
        </w:rPr>
      </w:pPr>
      <w:r>
        <w:rPr>
          <w:rFonts w:ascii="Arial" w:eastAsia="Times New Roman" w:hAnsi="Arial" w:cs="Arial"/>
          <w:b/>
          <w:sz w:val="27"/>
          <w:szCs w:val="27"/>
          <w:lang w:eastAsia="sl-SI"/>
        </w:rPr>
        <w:t>Cilj</w:t>
      </w:r>
      <w:r w:rsidR="00C34EEC">
        <w:rPr>
          <w:rFonts w:ascii="Arial" w:eastAsia="Times New Roman" w:hAnsi="Arial" w:cs="Arial"/>
          <w:b/>
          <w:sz w:val="27"/>
          <w:szCs w:val="27"/>
          <w:lang w:eastAsia="sl-SI"/>
        </w:rPr>
        <w:t>i</w:t>
      </w:r>
      <w:r>
        <w:rPr>
          <w:rFonts w:ascii="Arial" w:eastAsia="Times New Roman" w:hAnsi="Arial" w:cs="Arial"/>
          <w:b/>
          <w:sz w:val="27"/>
          <w:szCs w:val="27"/>
          <w:lang w:eastAsia="sl-SI"/>
        </w:rPr>
        <w:t xml:space="preserve"> projekta</w:t>
      </w:r>
    </w:p>
    <w:p w:rsidR="00CE0DA6" w:rsidRDefault="00CE0DA6">
      <w:pPr>
        <w:shd w:val="clear" w:color="auto" w:fill="FFFFFF"/>
        <w:spacing w:after="0" w:line="240" w:lineRule="auto"/>
        <w:outlineLvl w:val="1"/>
        <w:rPr>
          <w:rFonts w:ascii="Arial" w:eastAsia="Times New Roman" w:hAnsi="Arial" w:cs="Arial"/>
          <w:b/>
          <w:sz w:val="27"/>
          <w:szCs w:val="27"/>
          <w:lang w:eastAsia="sl-SI"/>
        </w:rPr>
      </w:pPr>
    </w:p>
    <w:p w:rsidR="00CE0DA6" w:rsidRDefault="004E2BB1">
      <w:pPr>
        <w:pStyle w:val="Odstavekseznama"/>
        <w:numPr>
          <w:ilvl w:val="0"/>
          <w:numId w:val="1"/>
        </w:numPr>
        <w:rPr>
          <w:rFonts w:ascii="Arial" w:eastAsia="Times New Roman" w:hAnsi="Arial" w:cs="Arial"/>
          <w:sz w:val="21"/>
          <w:szCs w:val="21"/>
          <w:lang w:eastAsia="sl-SI"/>
        </w:rPr>
      </w:pPr>
      <w:r>
        <w:rPr>
          <w:rFonts w:ascii="Arial" w:eastAsia="Times New Roman" w:hAnsi="Arial" w:cs="Arial"/>
          <w:sz w:val="21"/>
          <w:szCs w:val="21"/>
          <w:lang w:eastAsia="sl-SI"/>
        </w:rPr>
        <w:t xml:space="preserve">vzpostavitev in delovanje NKT VKO, </w:t>
      </w:r>
    </w:p>
    <w:p w:rsidR="00CE0DA6" w:rsidRDefault="004E2BB1">
      <w:pPr>
        <w:pStyle w:val="Odstavekseznama"/>
        <w:numPr>
          <w:ilvl w:val="0"/>
          <w:numId w:val="1"/>
        </w:numPr>
        <w:rPr>
          <w:rFonts w:ascii="Arial" w:eastAsia="Times New Roman" w:hAnsi="Arial" w:cs="Arial"/>
          <w:sz w:val="21"/>
          <w:szCs w:val="21"/>
          <w:lang w:eastAsia="sl-SI"/>
        </w:rPr>
      </w:pPr>
      <w:r>
        <w:rPr>
          <w:rFonts w:ascii="Arial" w:eastAsia="Times New Roman" w:hAnsi="Arial" w:cs="Arial"/>
          <w:sz w:val="21"/>
          <w:szCs w:val="21"/>
          <w:lang w:eastAsia="sl-SI"/>
        </w:rPr>
        <w:t>oblikovanje izobraževalnih modulov za izvajalce VKO,</w:t>
      </w:r>
    </w:p>
    <w:p w:rsidR="00CE0DA6" w:rsidRDefault="00A53672">
      <w:pPr>
        <w:pStyle w:val="Odstavekseznama"/>
        <w:numPr>
          <w:ilvl w:val="0"/>
          <w:numId w:val="1"/>
        </w:numPr>
        <w:rPr>
          <w:rFonts w:ascii="Arial" w:eastAsia="Times New Roman" w:hAnsi="Arial" w:cs="Arial"/>
          <w:sz w:val="21"/>
          <w:szCs w:val="21"/>
          <w:lang w:eastAsia="sl-SI"/>
        </w:rPr>
      </w:pPr>
      <w:proofErr w:type="spellStart"/>
      <w:r>
        <w:rPr>
          <w:rFonts w:ascii="Arial" w:eastAsia="Times New Roman" w:hAnsi="Arial" w:cs="Arial"/>
          <w:sz w:val="21"/>
          <w:szCs w:val="21"/>
          <w:lang w:val="en-US" w:eastAsia="sl-SI"/>
        </w:rPr>
        <w:t>i</w:t>
      </w:r>
      <w:proofErr w:type="spellEnd"/>
      <w:r w:rsidR="004E2BB1">
        <w:rPr>
          <w:rFonts w:ascii="Arial" w:eastAsia="Times New Roman" w:hAnsi="Arial" w:cs="Arial"/>
          <w:sz w:val="21"/>
          <w:szCs w:val="21"/>
          <w:lang w:eastAsia="sl-SI"/>
        </w:rPr>
        <w:t>zvedba izobraževanj/usposabljanj za izvajalce VKO,</w:t>
      </w:r>
    </w:p>
    <w:p w:rsidR="00CE0DA6" w:rsidRDefault="004E2BB1">
      <w:pPr>
        <w:pStyle w:val="Odstavekseznama"/>
        <w:numPr>
          <w:ilvl w:val="0"/>
          <w:numId w:val="1"/>
        </w:numPr>
        <w:rPr>
          <w:rFonts w:ascii="Arial" w:eastAsia="Times New Roman" w:hAnsi="Arial" w:cs="Arial"/>
          <w:sz w:val="21"/>
          <w:szCs w:val="21"/>
          <w:lang w:eastAsia="sl-SI"/>
        </w:rPr>
      </w:pPr>
      <w:r>
        <w:rPr>
          <w:rFonts w:ascii="Arial" w:eastAsia="Times New Roman" w:hAnsi="Arial" w:cs="Arial"/>
          <w:sz w:val="21"/>
          <w:szCs w:val="21"/>
          <w:lang w:val="en-US" w:eastAsia="sl-SI"/>
        </w:rPr>
        <w:t>v</w:t>
      </w:r>
      <w:r>
        <w:rPr>
          <w:rFonts w:ascii="Arial" w:eastAsia="Times New Roman" w:hAnsi="Arial" w:cs="Arial"/>
          <w:sz w:val="21"/>
          <w:szCs w:val="21"/>
          <w:lang w:eastAsia="sl-SI"/>
        </w:rPr>
        <w:t>zpostavljen standard kakovosti za VKO,</w:t>
      </w:r>
    </w:p>
    <w:p w:rsidR="00CE0DA6" w:rsidRDefault="004E2BB1">
      <w:pPr>
        <w:pStyle w:val="Odstavekseznama"/>
        <w:numPr>
          <w:ilvl w:val="0"/>
          <w:numId w:val="1"/>
        </w:numPr>
        <w:spacing w:after="120" w:line="264" w:lineRule="auto"/>
        <w:rPr>
          <w:rFonts w:ascii="Arial" w:eastAsia="Times New Roman" w:hAnsi="Arial" w:cs="Arial"/>
          <w:lang w:eastAsia="sl-SI"/>
        </w:rPr>
      </w:pPr>
      <w:r>
        <w:rPr>
          <w:rFonts w:ascii="Arial" w:eastAsia="Times New Roman" w:hAnsi="Arial" w:cs="Arial"/>
          <w:sz w:val="21"/>
          <w:szCs w:val="21"/>
          <w:lang w:val="en-US" w:eastAsia="sl-SI"/>
        </w:rPr>
        <w:t>p</w:t>
      </w:r>
      <w:r>
        <w:rPr>
          <w:rFonts w:ascii="Arial" w:eastAsia="Times New Roman" w:hAnsi="Arial" w:cs="Arial"/>
          <w:sz w:val="21"/>
          <w:szCs w:val="21"/>
          <w:lang w:eastAsia="sl-SI"/>
        </w:rPr>
        <w:t>romocija NKT VKO.</w:t>
      </w:r>
    </w:p>
    <w:p w:rsidR="00CE0DA6" w:rsidRDefault="00CE0DA6">
      <w:pPr>
        <w:pStyle w:val="Odstavekseznama"/>
        <w:spacing w:after="120" w:line="264" w:lineRule="auto"/>
        <w:rPr>
          <w:rFonts w:ascii="Arial" w:eastAsia="Times New Roman" w:hAnsi="Arial" w:cs="Arial"/>
          <w:lang w:eastAsia="sl-SI"/>
        </w:rPr>
      </w:pPr>
    </w:p>
    <w:p w:rsidR="00CE0DA6" w:rsidRDefault="004E2BB1">
      <w:pPr>
        <w:pStyle w:val="Naslov2"/>
        <w:rPr>
          <w:rFonts w:ascii="Arial" w:hAnsi="Arial" w:cs="Arial"/>
          <w:sz w:val="27"/>
          <w:szCs w:val="27"/>
        </w:rPr>
      </w:pPr>
      <w:r>
        <w:rPr>
          <w:rFonts w:ascii="Arial" w:hAnsi="Arial" w:cs="Arial"/>
          <w:sz w:val="27"/>
          <w:szCs w:val="27"/>
        </w:rPr>
        <w:t>Rezultati projekta</w:t>
      </w:r>
    </w:p>
    <w:p w:rsidR="00CE0DA6" w:rsidRDefault="00CE0DA6">
      <w:pPr>
        <w:spacing w:after="0"/>
        <w:rPr>
          <w:rFonts w:ascii="Arial" w:hAnsi="Arial" w:cs="Arial"/>
          <w:b/>
          <w:sz w:val="21"/>
          <w:szCs w:val="21"/>
        </w:rPr>
      </w:pPr>
    </w:p>
    <w:p w:rsidR="00CE0DA6" w:rsidRDefault="004E2BB1">
      <w:pPr>
        <w:spacing w:after="0"/>
        <w:rPr>
          <w:rFonts w:ascii="Arial" w:hAnsi="Arial" w:cs="Arial"/>
          <w:b/>
          <w:sz w:val="21"/>
          <w:szCs w:val="21"/>
        </w:rPr>
      </w:pPr>
      <w:r>
        <w:rPr>
          <w:rFonts w:ascii="Arial" w:hAnsi="Arial" w:cs="Arial"/>
          <w:b/>
          <w:sz w:val="21"/>
          <w:szCs w:val="21"/>
        </w:rPr>
        <w:t>Dosežki na ravni politike in predlogi za boljše delovanje:</w:t>
      </w:r>
    </w:p>
    <w:p w:rsidR="00CE0DA6" w:rsidRDefault="004E2BB1">
      <w:pPr>
        <w:pStyle w:val="Odstavekseznama"/>
        <w:numPr>
          <w:ilvl w:val="0"/>
          <w:numId w:val="1"/>
        </w:numPr>
        <w:spacing w:after="0"/>
        <w:rPr>
          <w:rFonts w:ascii="Arial" w:hAnsi="Arial" w:cs="Arial"/>
          <w:sz w:val="21"/>
          <w:szCs w:val="21"/>
        </w:rPr>
      </w:pPr>
      <w:r>
        <w:rPr>
          <w:rFonts w:ascii="Arial" w:hAnsi="Arial" w:cs="Arial"/>
          <w:sz w:val="21"/>
          <w:szCs w:val="21"/>
        </w:rPr>
        <w:t xml:space="preserve">VKO je umeščena v uvodna poglavja Bele knjige o vzgoji in izobraževanju kot »promocija poklicev od vrtca naprej – karierna orientacija«, kar je rezultiralo v omembi vodenja/načrtovanja kariere tudi v posameznih zakonskih aktih. </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Skupno poimenovanje terminov s področja VKO: projekt je oblikoval delovno skupino</w:t>
      </w:r>
      <w:r>
        <w:rPr>
          <w:rFonts w:ascii="Arial" w:hAnsi="Arial" w:cs="Arial"/>
          <w:sz w:val="21"/>
          <w:szCs w:val="21"/>
          <w:lang w:val="en-US"/>
        </w:rPr>
        <w:t>,</w:t>
      </w:r>
      <w:r>
        <w:rPr>
          <w:rFonts w:ascii="Arial" w:hAnsi="Arial" w:cs="Arial"/>
          <w:sz w:val="21"/>
          <w:szCs w:val="21"/>
        </w:rPr>
        <w:t xml:space="preserve"> v kateri so sodelovali predstavnik</w:t>
      </w:r>
      <w:r w:rsidR="00A53672">
        <w:rPr>
          <w:rFonts w:ascii="Arial" w:hAnsi="Arial" w:cs="Arial"/>
          <w:sz w:val="21"/>
          <w:szCs w:val="21"/>
        </w:rPr>
        <w:t>i</w:t>
      </w:r>
      <w:r>
        <w:rPr>
          <w:rFonts w:ascii="Arial" w:hAnsi="Arial" w:cs="Arial"/>
          <w:sz w:val="21"/>
          <w:szCs w:val="21"/>
        </w:rPr>
        <w:t xml:space="preserve"> </w:t>
      </w:r>
      <w:r>
        <w:rPr>
          <w:rFonts w:ascii="Arial" w:hAnsi="Arial" w:cs="Arial"/>
          <w:sz w:val="21"/>
          <w:szCs w:val="21"/>
          <w:lang w:val="en-US"/>
        </w:rPr>
        <w:t>sedmih</w:t>
      </w:r>
      <w:r>
        <w:rPr>
          <w:rFonts w:ascii="Arial" w:hAnsi="Arial" w:cs="Arial"/>
          <w:sz w:val="21"/>
          <w:szCs w:val="21"/>
        </w:rPr>
        <w:t xml:space="preserve"> ključnih združenj in </w:t>
      </w:r>
      <w:r>
        <w:rPr>
          <w:rFonts w:ascii="Arial" w:hAnsi="Arial" w:cs="Arial"/>
          <w:sz w:val="21"/>
          <w:szCs w:val="21"/>
          <w:lang w:val="en-US"/>
        </w:rPr>
        <w:t xml:space="preserve">treh </w:t>
      </w:r>
      <w:r>
        <w:rPr>
          <w:rFonts w:ascii="Arial" w:hAnsi="Arial" w:cs="Arial"/>
          <w:sz w:val="21"/>
          <w:szCs w:val="21"/>
        </w:rPr>
        <w:t xml:space="preserve">univerzitetnih programov, ki izobražujejo karierne svetovalce. Skupina je pripravila </w:t>
      </w:r>
      <w:hyperlink r:id="rId8" w:history="1">
        <w:r>
          <w:rPr>
            <w:rStyle w:val="Hiperpovezava"/>
            <w:rFonts w:ascii="Arial" w:hAnsi="Arial" w:cs="Arial"/>
            <w:sz w:val="21"/>
            <w:szCs w:val="21"/>
          </w:rPr>
          <w:t>Terminološki slovarček VKO 2011</w:t>
        </w:r>
      </w:hyperlink>
      <w:r>
        <w:rPr>
          <w:rFonts w:ascii="Arial" w:hAnsi="Arial" w:cs="Arial"/>
          <w:sz w:val="21"/>
          <w:szCs w:val="21"/>
        </w:rPr>
        <w:t xml:space="preserve">, ki je uskladil poimenovanje nekaterih pojmov s tega področja, med drugim tudi pojem dejavnosti </w:t>
      </w:r>
      <w:r>
        <w:rPr>
          <w:rFonts w:ascii="Arial" w:hAnsi="Arial" w:cs="Arial"/>
          <w:sz w:val="21"/>
          <w:szCs w:val="21"/>
          <w:lang w:val="en-US"/>
        </w:rPr>
        <w:t>"</w:t>
      </w:r>
      <w:r>
        <w:rPr>
          <w:rFonts w:ascii="Arial" w:hAnsi="Arial" w:cs="Arial"/>
          <w:sz w:val="21"/>
          <w:szCs w:val="21"/>
        </w:rPr>
        <w:t>career guidance</w:t>
      </w:r>
      <w:r>
        <w:rPr>
          <w:rFonts w:ascii="Arial" w:hAnsi="Arial" w:cs="Arial"/>
          <w:sz w:val="21"/>
          <w:szCs w:val="21"/>
          <w:lang w:val="en-US"/>
        </w:rPr>
        <w:t>"</w:t>
      </w:r>
      <w:r>
        <w:rPr>
          <w:rFonts w:ascii="Arial" w:hAnsi="Arial" w:cs="Arial"/>
          <w:sz w:val="21"/>
          <w:szCs w:val="21"/>
        </w:rPr>
        <w:t xml:space="preserve">. </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V projektu so nastali posamezni dokumenti (Medresorske smernice kakovosti VKO</w:t>
      </w:r>
      <w:r>
        <w:rPr>
          <w:rFonts w:ascii="Arial" w:hAnsi="Arial" w:cs="Arial"/>
          <w:sz w:val="21"/>
          <w:szCs w:val="21"/>
          <w:lang w:val="en-US"/>
        </w:rPr>
        <w:t>,</w:t>
      </w:r>
      <w:r>
        <w:rPr>
          <w:rFonts w:ascii="Arial" w:hAnsi="Arial" w:cs="Arial"/>
          <w:sz w:val="21"/>
          <w:szCs w:val="21"/>
        </w:rPr>
        <w:t xml:space="preserve"> Terminološki slovarček VKO 2011), ki jih je Strokovna skupina za VKO potrdila, tako da veljajo za vse izvajalce in oblikovalce politike VKO.</w:t>
      </w:r>
    </w:p>
    <w:p w:rsidR="00CE0DA6" w:rsidRDefault="004E2BB1">
      <w:pPr>
        <w:pStyle w:val="Odstavekseznama"/>
        <w:numPr>
          <w:ilvl w:val="0"/>
          <w:numId w:val="1"/>
        </w:numPr>
        <w:rPr>
          <w:rFonts w:ascii="Arial" w:hAnsi="Arial" w:cs="Arial"/>
          <w:b/>
          <w:bCs/>
          <w:sz w:val="21"/>
          <w:szCs w:val="21"/>
        </w:rPr>
      </w:pPr>
      <w:r>
        <w:rPr>
          <w:rFonts w:ascii="Arial" w:hAnsi="Arial" w:cs="Arial"/>
          <w:sz w:val="21"/>
          <w:szCs w:val="21"/>
        </w:rPr>
        <w:t>Projekt je podpiral delovanje Strokovne skupine za VKO tudi finančno</w:t>
      </w:r>
      <w:r>
        <w:rPr>
          <w:rFonts w:ascii="Arial" w:hAnsi="Arial" w:cs="Arial"/>
          <w:sz w:val="21"/>
          <w:szCs w:val="21"/>
          <w:lang w:val="en-US"/>
        </w:rPr>
        <w:t>,</w:t>
      </w:r>
      <w:r>
        <w:rPr>
          <w:rFonts w:ascii="Arial" w:hAnsi="Arial" w:cs="Arial"/>
          <w:sz w:val="21"/>
          <w:szCs w:val="21"/>
        </w:rPr>
        <w:t xml:space="preserve"> z oblikovanjem in tiskom gradiv (</w:t>
      </w:r>
      <w:hyperlink r:id="rId9" w:history="1">
        <w:r>
          <w:rPr>
            <w:rStyle w:val="Hiperpovezava"/>
            <w:rFonts w:ascii="Arial" w:hAnsi="Arial" w:cs="Arial"/>
            <w:sz w:val="21"/>
            <w:szCs w:val="21"/>
          </w:rPr>
          <w:t>Razvoj politike za vseživljenjsko karierno orientacijo</w:t>
        </w:r>
      </w:hyperlink>
      <w:r>
        <w:rPr>
          <w:rFonts w:ascii="Arial" w:hAnsi="Arial" w:cs="Arial"/>
          <w:sz w:val="21"/>
          <w:szCs w:val="21"/>
        </w:rPr>
        <w:t xml:space="preserve">: evropski nabor orodij – ELGPN Tools No. 1, </w:t>
      </w:r>
      <w:hyperlink r:id="rId10" w:history="1">
        <w:r>
          <w:rPr>
            <w:rStyle w:val="Hiperpovezava"/>
            <w:rFonts w:ascii="Arial" w:hAnsi="Arial" w:cs="Arial"/>
            <w:sz w:val="21"/>
            <w:szCs w:val="21"/>
          </w:rPr>
          <w:t>POLITIKE na področju vodenja kariere s priporočili</w:t>
        </w:r>
      </w:hyperlink>
      <w:r>
        <w:rPr>
          <w:rFonts w:ascii="Arial" w:hAnsi="Arial" w:cs="Arial"/>
          <w:sz w:val="21"/>
          <w:szCs w:val="21"/>
        </w:rPr>
        <w:t xml:space="preserve">, Moja izbira: </w:t>
      </w:r>
      <w:hyperlink r:id="rId11" w:history="1">
        <w:r>
          <w:rPr>
            <w:rStyle w:val="Hiperpovezava"/>
            <w:rFonts w:ascii="Arial" w:hAnsi="Arial" w:cs="Arial"/>
            <w:sz w:val="21"/>
            <w:szCs w:val="21"/>
          </w:rPr>
          <w:t>Moja kariera, informacije za otroke, učence, dijake, študente, mlade in odrasle, starše in strokovne delavce</w:t>
        </w:r>
      </w:hyperlink>
      <w:r>
        <w:rPr>
          <w:rFonts w:ascii="Arial" w:hAnsi="Arial" w:cs="Arial"/>
          <w:bCs/>
          <w:sz w:val="21"/>
          <w:szCs w:val="21"/>
        </w:rPr>
        <w:t>).</w:t>
      </w:r>
    </w:p>
    <w:p w:rsidR="00CE0DA6" w:rsidRDefault="004E2BB1">
      <w:pPr>
        <w:pStyle w:val="Odstavekseznama"/>
        <w:numPr>
          <w:ilvl w:val="0"/>
          <w:numId w:val="1"/>
        </w:numPr>
        <w:rPr>
          <w:rFonts w:ascii="Arial" w:hAnsi="Arial" w:cs="Arial"/>
          <w:bCs/>
          <w:sz w:val="21"/>
          <w:szCs w:val="21"/>
        </w:rPr>
      </w:pPr>
      <w:r>
        <w:rPr>
          <w:rFonts w:ascii="Arial" w:hAnsi="Arial" w:cs="Arial"/>
          <w:bCs/>
          <w:sz w:val="21"/>
          <w:szCs w:val="21"/>
        </w:rPr>
        <w:t>Učenje veščin vodenja kariere</w:t>
      </w:r>
      <w:r>
        <w:rPr>
          <w:rFonts w:ascii="Arial" w:hAnsi="Arial" w:cs="Arial"/>
          <w:sz w:val="21"/>
          <w:szCs w:val="21"/>
        </w:rPr>
        <w:t xml:space="preserve"> ali </w:t>
      </w:r>
      <w:r>
        <w:rPr>
          <w:rFonts w:ascii="Arial" w:hAnsi="Arial" w:cs="Arial"/>
          <w:bCs/>
          <w:sz w:val="21"/>
          <w:szCs w:val="21"/>
        </w:rPr>
        <w:t xml:space="preserve">poklicna vzgoja za učence in dijake: </w:t>
      </w:r>
    </w:p>
    <w:p w:rsidR="00CE0DA6" w:rsidRDefault="004E2BB1">
      <w:pPr>
        <w:pStyle w:val="Odstavekseznama"/>
        <w:numPr>
          <w:ilvl w:val="1"/>
          <w:numId w:val="1"/>
        </w:numPr>
        <w:rPr>
          <w:rFonts w:ascii="Arial" w:hAnsi="Arial" w:cs="Arial"/>
          <w:bCs/>
          <w:sz w:val="21"/>
          <w:szCs w:val="21"/>
        </w:rPr>
      </w:pPr>
      <w:r>
        <w:rPr>
          <w:rFonts w:ascii="Arial" w:hAnsi="Arial" w:cs="Arial"/>
          <w:bCs/>
          <w:sz w:val="21"/>
          <w:szCs w:val="21"/>
        </w:rPr>
        <w:t xml:space="preserve">Poklicna vzgoja je v osnovni in srednji šoli definirana kot medpredmetna vsebina, prvi pregled iz leta 2009 je pokazal, da VKO-ja na izvedbeni ravni ni ali ga je malo. Zato smo naročili </w:t>
      </w:r>
      <w:r>
        <w:rPr>
          <w:rFonts w:ascii="Arial" w:hAnsi="Arial" w:cs="Arial"/>
          <w:bCs/>
          <w:sz w:val="21"/>
          <w:szCs w:val="21"/>
          <w:lang w:val="en-US"/>
        </w:rPr>
        <w:t>dve</w:t>
      </w:r>
      <w:bookmarkStart w:id="0" w:name="_GoBack"/>
      <w:bookmarkEnd w:id="0"/>
      <w:r>
        <w:rPr>
          <w:rFonts w:ascii="Arial" w:hAnsi="Arial" w:cs="Arial"/>
          <w:bCs/>
          <w:sz w:val="21"/>
          <w:szCs w:val="21"/>
        </w:rPr>
        <w:t xml:space="preserve"> analizi: Analiz</w:t>
      </w:r>
      <w:r>
        <w:rPr>
          <w:rFonts w:ascii="Arial" w:hAnsi="Arial" w:cs="Arial"/>
          <w:bCs/>
          <w:sz w:val="21"/>
          <w:szCs w:val="21"/>
          <w:lang w:val="en-US"/>
        </w:rPr>
        <w:t>o</w:t>
      </w:r>
      <w:r>
        <w:rPr>
          <w:rFonts w:ascii="Arial" w:hAnsi="Arial" w:cs="Arial"/>
          <w:bCs/>
          <w:sz w:val="21"/>
          <w:szCs w:val="21"/>
        </w:rPr>
        <w:t xml:space="preserve"> učnih načrtov obveznih predmetov osnovne </w:t>
      </w:r>
      <w:r>
        <w:rPr>
          <w:rFonts w:ascii="Arial" w:hAnsi="Arial" w:cs="Arial"/>
          <w:bCs/>
          <w:sz w:val="21"/>
          <w:szCs w:val="21"/>
        </w:rPr>
        <w:lastRenderedPageBreak/>
        <w:t xml:space="preserve">šole z vidika vseživljenjske karierne orientacije s priporočili in Analizo učnih načrtov obveznih predmetov v gimnaziji z vidika vseživljenjske karierne orientacije s priporočili. Priporočila so bila oblikovana praktično, tako da bi njihova implementacija povečala dejansko izvajanje VKO v obstoječih izvedbenih kurikulumih. </w:t>
      </w:r>
    </w:p>
    <w:p w:rsidR="00CE0DA6" w:rsidRDefault="004E2BB1">
      <w:pPr>
        <w:pStyle w:val="Odstavekseznama"/>
        <w:numPr>
          <w:ilvl w:val="1"/>
          <w:numId w:val="1"/>
        </w:numPr>
        <w:rPr>
          <w:rFonts w:ascii="Arial" w:hAnsi="Arial" w:cs="Arial"/>
          <w:bCs/>
          <w:sz w:val="21"/>
          <w:szCs w:val="21"/>
        </w:rPr>
      </w:pPr>
      <w:r>
        <w:rPr>
          <w:rFonts w:ascii="Arial" w:hAnsi="Arial" w:cs="Arial"/>
          <w:bCs/>
          <w:sz w:val="21"/>
          <w:szCs w:val="21"/>
        </w:rPr>
        <w:t xml:space="preserve">Ker se situacija v naslednjih </w:t>
      </w:r>
      <w:r>
        <w:rPr>
          <w:rFonts w:ascii="Arial" w:hAnsi="Arial" w:cs="Arial"/>
          <w:bCs/>
          <w:sz w:val="21"/>
          <w:szCs w:val="21"/>
          <w:lang w:val="en-US"/>
        </w:rPr>
        <w:t>dveh</w:t>
      </w:r>
      <w:r>
        <w:rPr>
          <w:rFonts w:ascii="Arial" w:hAnsi="Arial" w:cs="Arial"/>
          <w:bCs/>
          <w:sz w:val="21"/>
          <w:szCs w:val="21"/>
        </w:rPr>
        <w:t xml:space="preserve"> letih ni izboljšala, smo na predlog šolskih svetovalnih delavcev pripravili</w:t>
      </w:r>
      <w:r>
        <w:rPr>
          <w:rFonts w:ascii="Arial" w:eastAsia="Times New Roman" w:hAnsi="Arial" w:cs="Arial"/>
          <w:color w:val="666666"/>
          <w:sz w:val="21"/>
          <w:szCs w:val="21"/>
          <w:lang w:eastAsia="sl-SI"/>
        </w:rPr>
        <w:t xml:space="preserve"> »</w:t>
      </w:r>
      <w:r>
        <w:rPr>
          <w:rFonts w:ascii="Arial" w:hAnsi="Arial" w:cs="Arial"/>
          <w:bCs/>
          <w:sz w:val="21"/>
          <w:szCs w:val="21"/>
        </w:rPr>
        <w:t xml:space="preserve">Predlog učnega načrta za izbirni predmet Karierna orientacija«. Predmet je zasnovan kot dvoleten program v zadnji triadi osnovne šole (skupaj 70 ur). V predlogu so napisani cilji in vsebine, minimalni standardi in didaktična priporočila vključno s predlogom za preverjanje </w:t>
      </w:r>
      <w:r>
        <w:rPr>
          <w:rFonts w:ascii="Arial" w:hAnsi="Arial" w:cs="Arial"/>
          <w:bCs/>
          <w:sz w:val="21"/>
          <w:szCs w:val="21"/>
          <w:lang w:val="en-US"/>
        </w:rPr>
        <w:t xml:space="preserve">(in </w:t>
      </w:r>
      <w:proofErr w:type="spellStart"/>
      <w:r>
        <w:rPr>
          <w:rFonts w:ascii="Arial" w:hAnsi="Arial" w:cs="Arial"/>
          <w:bCs/>
          <w:sz w:val="21"/>
          <w:szCs w:val="21"/>
          <w:lang w:val="en-US"/>
        </w:rPr>
        <w:t>ocenjevanje</w:t>
      </w:r>
      <w:proofErr w:type="spellEnd"/>
      <w:r>
        <w:rPr>
          <w:rFonts w:ascii="Arial" w:hAnsi="Arial" w:cs="Arial"/>
          <w:bCs/>
          <w:sz w:val="21"/>
          <w:szCs w:val="21"/>
          <w:lang w:val="en-US"/>
        </w:rPr>
        <w:t xml:space="preserve">?) </w:t>
      </w:r>
      <w:r>
        <w:rPr>
          <w:rFonts w:ascii="Arial" w:hAnsi="Arial" w:cs="Arial"/>
          <w:bCs/>
          <w:sz w:val="21"/>
          <w:szCs w:val="21"/>
        </w:rPr>
        <w:t xml:space="preserve">znanja. Predlog smo poslali na Zavod za šolstvo RS. </w:t>
      </w:r>
    </w:p>
    <w:p w:rsidR="00CE0DA6" w:rsidRDefault="004E2BB1">
      <w:pPr>
        <w:pStyle w:val="Odstavekseznama"/>
        <w:numPr>
          <w:ilvl w:val="0"/>
          <w:numId w:val="1"/>
        </w:numPr>
        <w:rPr>
          <w:rFonts w:ascii="Arial" w:hAnsi="Arial" w:cs="Arial"/>
          <w:b/>
          <w:bCs/>
          <w:sz w:val="21"/>
          <w:szCs w:val="21"/>
        </w:rPr>
      </w:pPr>
      <w:r>
        <w:rPr>
          <w:rFonts w:ascii="Arial" w:hAnsi="Arial" w:cs="Arial"/>
          <w:bCs/>
          <w:sz w:val="21"/>
          <w:szCs w:val="21"/>
        </w:rPr>
        <w:t xml:space="preserve">Za MDDSZ smo pripravili </w:t>
      </w:r>
      <w:r>
        <w:rPr>
          <w:rFonts w:ascii="Arial" w:hAnsi="Arial" w:cs="Arial"/>
          <w:sz w:val="21"/>
          <w:szCs w:val="21"/>
        </w:rPr>
        <w:t>Predlog projekta Vzpostavitev regijskih kariernih centrov za mlade, ki je predstavljal izhodišča za razpis v vzhodni in zahodni regiji</w:t>
      </w:r>
      <w:r>
        <w:rPr>
          <w:rFonts w:ascii="Arial" w:hAnsi="Arial" w:cs="Arial"/>
          <w:bCs/>
          <w:sz w:val="21"/>
          <w:szCs w:val="21"/>
        </w:rPr>
        <w:t>.</w:t>
      </w:r>
    </w:p>
    <w:p w:rsidR="00CE0DA6" w:rsidRDefault="00CE0DA6">
      <w:pPr>
        <w:pStyle w:val="Odstavekseznama"/>
        <w:ind w:left="1440"/>
        <w:rPr>
          <w:rFonts w:ascii="Arial" w:hAnsi="Arial" w:cs="Arial"/>
          <w:sz w:val="21"/>
          <w:szCs w:val="21"/>
        </w:rPr>
      </w:pPr>
    </w:p>
    <w:p w:rsidR="00CE0DA6" w:rsidRDefault="004E2BB1">
      <w:pPr>
        <w:spacing w:after="0"/>
        <w:rPr>
          <w:rFonts w:ascii="Arial" w:hAnsi="Arial" w:cs="Arial"/>
          <w:sz w:val="21"/>
          <w:szCs w:val="21"/>
        </w:rPr>
      </w:pPr>
      <w:r>
        <w:rPr>
          <w:rFonts w:ascii="Arial" w:hAnsi="Arial" w:cs="Arial"/>
          <w:b/>
          <w:sz w:val="21"/>
          <w:szCs w:val="21"/>
        </w:rPr>
        <w:t>Oblikovanje izobraževalnega programa</w:t>
      </w:r>
      <w:r>
        <w:rPr>
          <w:rFonts w:ascii="Arial" w:hAnsi="Arial" w:cs="Arial"/>
          <w:sz w:val="21"/>
          <w:szCs w:val="21"/>
        </w:rPr>
        <w:t xml:space="preserve"> za karierne svetovalce v sodelovanju s Pedagoško fakulteto v Ljubljani je bil osnova za nastanek:</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analiz, ki so bile podlaga pri pripravi in odločanju o skupnem izobraževanju (</w:t>
      </w:r>
      <w:hyperlink r:id="rId12" w:history="1">
        <w:r w:rsidRPr="00C34EEC">
          <w:rPr>
            <w:rStyle w:val="Hiperpovezava"/>
            <w:rFonts w:ascii="Arial" w:hAnsi="Arial" w:cs="Arial"/>
            <w:sz w:val="21"/>
            <w:szCs w:val="21"/>
          </w:rPr>
          <w:t>Pregled dosedanjega izobraževanja za karierno orientacijo</w:t>
        </w:r>
      </w:hyperlink>
      <w:r>
        <w:rPr>
          <w:rFonts w:ascii="Arial" w:hAnsi="Arial" w:cs="Arial"/>
          <w:sz w:val="21"/>
          <w:szCs w:val="21"/>
        </w:rPr>
        <w:t xml:space="preserve">; </w:t>
      </w:r>
      <w:hyperlink r:id="rId13" w:history="1">
        <w:r w:rsidRPr="00C34EEC">
          <w:rPr>
            <w:rStyle w:val="Hiperpovezava"/>
            <w:rFonts w:ascii="Arial" w:hAnsi="Arial" w:cs="Arial"/>
            <w:sz w:val="21"/>
            <w:szCs w:val="21"/>
          </w:rPr>
          <w:t>Analiza izobraževanj za karierno orientacijo v EU</w:t>
        </w:r>
      </w:hyperlink>
      <w:r>
        <w:rPr>
          <w:rFonts w:ascii="Arial" w:hAnsi="Arial" w:cs="Arial"/>
          <w:sz w:val="21"/>
          <w:szCs w:val="21"/>
        </w:rPr>
        <w:t xml:space="preserve">, </w:t>
      </w:r>
      <w:hyperlink r:id="rId14" w:history="1">
        <w:r w:rsidRPr="00C34EEC">
          <w:rPr>
            <w:rStyle w:val="Hiperpovezava"/>
            <w:rFonts w:ascii="Arial" w:hAnsi="Arial" w:cs="Arial"/>
            <w:sz w:val="21"/>
            <w:szCs w:val="21"/>
          </w:rPr>
          <w:t>Analiza interesa delodajalcev za zaposlovanje kariernih svetovalcev</w:t>
        </w:r>
      </w:hyperlink>
      <w:r>
        <w:rPr>
          <w:rFonts w:ascii="Arial" w:hAnsi="Arial" w:cs="Arial"/>
          <w:sz w:val="21"/>
          <w:szCs w:val="21"/>
        </w:rPr>
        <w:t>);</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izobraževalnih vsebin in modulov v sodelovanju s predstavniki več visokošolskih zavodov in tujega svetovalca;</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predstavitven</w:t>
      </w:r>
      <w:r>
        <w:rPr>
          <w:rFonts w:ascii="Arial" w:hAnsi="Arial" w:cs="Arial"/>
          <w:sz w:val="21"/>
          <w:szCs w:val="21"/>
          <w:lang w:val="en-US"/>
        </w:rPr>
        <w:t>ega</w:t>
      </w:r>
      <w:r>
        <w:rPr>
          <w:rFonts w:ascii="Arial" w:hAnsi="Arial" w:cs="Arial"/>
          <w:sz w:val="21"/>
          <w:szCs w:val="21"/>
        </w:rPr>
        <w:t xml:space="preserve"> zbornik</w:t>
      </w:r>
      <w:r>
        <w:rPr>
          <w:rFonts w:ascii="Arial" w:hAnsi="Arial" w:cs="Arial"/>
          <w:sz w:val="21"/>
          <w:szCs w:val="21"/>
          <w:lang w:val="en-US"/>
        </w:rPr>
        <w:t>a</w:t>
      </w:r>
      <w:r>
        <w:rPr>
          <w:rFonts w:ascii="Arial" w:hAnsi="Arial" w:cs="Arial"/>
          <w:sz w:val="21"/>
          <w:szCs w:val="21"/>
        </w:rPr>
        <w:t xml:space="preserve"> »Program nadaljnjega izobraževanja in usposabljanja - posodobitveni program za izvajanje karierne orientacije«.</w:t>
      </w:r>
    </w:p>
    <w:p w:rsidR="00CE0DA6" w:rsidRDefault="00CE0DA6">
      <w:pPr>
        <w:pStyle w:val="Odstavekseznama"/>
        <w:ind w:left="1440"/>
        <w:rPr>
          <w:rFonts w:ascii="Arial" w:hAnsi="Arial" w:cs="Arial"/>
          <w:sz w:val="21"/>
          <w:szCs w:val="21"/>
        </w:rPr>
      </w:pPr>
    </w:p>
    <w:p w:rsidR="00CE0DA6" w:rsidRDefault="004E2BB1">
      <w:pPr>
        <w:spacing w:after="0"/>
        <w:rPr>
          <w:rFonts w:ascii="Arial" w:hAnsi="Arial" w:cs="Arial"/>
          <w:sz w:val="21"/>
          <w:szCs w:val="21"/>
        </w:rPr>
      </w:pPr>
      <w:r>
        <w:rPr>
          <w:rFonts w:ascii="Arial" w:hAnsi="Arial" w:cs="Arial"/>
          <w:b/>
          <w:sz w:val="21"/>
          <w:szCs w:val="21"/>
        </w:rPr>
        <w:t>Pilotna izvedba</w:t>
      </w:r>
      <w:r>
        <w:rPr>
          <w:rFonts w:ascii="Arial" w:hAnsi="Arial" w:cs="Arial"/>
          <w:sz w:val="21"/>
          <w:szCs w:val="21"/>
        </w:rPr>
        <w:t xml:space="preserve"> Modularnega usposabljanja za karierne svetovalce - </w:t>
      </w:r>
      <w:r>
        <w:rPr>
          <w:rFonts w:ascii="Arial" w:hAnsi="Arial" w:cs="Arial"/>
          <w:b/>
          <w:sz w:val="21"/>
          <w:szCs w:val="21"/>
        </w:rPr>
        <w:t>MUKS</w:t>
      </w:r>
    </w:p>
    <w:p w:rsidR="00CE0DA6" w:rsidRDefault="004E2BB1">
      <w:pPr>
        <w:ind w:left="708"/>
        <w:rPr>
          <w:rFonts w:ascii="Arial" w:hAnsi="Arial" w:cs="Arial"/>
          <w:sz w:val="21"/>
          <w:szCs w:val="21"/>
        </w:rPr>
      </w:pPr>
      <w:r>
        <w:rPr>
          <w:rFonts w:ascii="Arial" w:hAnsi="Arial" w:cs="Arial"/>
          <w:sz w:val="21"/>
          <w:szCs w:val="21"/>
        </w:rPr>
        <w:t>Čeprav smo izobraževanje kariernih svetovalcev pripravili in načrtovali kot javno veljavni izobraževalni program izpopolnjevanja (60 ECT)</w:t>
      </w:r>
      <w:r>
        <w:rPr>
          <w:rFonts w:ascii="Arial" w:hAnsi="Arial" w:cs="Arial"/>
          <w:sz w:val="21"/>
          <w:szCs w:val="21"/>
          <w:lang w:val="en-US"/>
        </w:rPr>
        <w:t>,</w:t>
      </w:r>
      <w:r>
        <w:rPr>
          <w:rFonts w:ascii="Arial" w:hAnsi="Arial" w:cs="Arial"/>
          <w:sz w:val="21"/>
          <w:szCs w:val="21"/>
        </w:rPr>
        <w:t xml:space="preserve"> nismo dobili soglasja MDDSZ. Zato smo iskali ponudnike na trgu in v študijskem letu 2014/2015 pilotno izpeljali 160</w:t>
      </w:r>
      <w:r>
        <w:rPr>
          <w:rFonts w:ascii="Arial" w:hAnsi="Arial" w:cs="Arial"/>
          <w:sz w:val="21"/>
          <w:szCs w:val="21"/>
          <w:lang w:val="en-US"/>
        </w:rPr>
        <w:t>-</w:t>
      </w:r>
      <w:r>
        <w:rPr>
          <w:rFonts w:ascii="Arial" w:hAnsi="Arial" w:cs="Arial"/>
          <w:sz w:val="21"/>
          <w:szCs w:val="21"/>
        </w:rPr>
        <w:t xml:space="preserve">urni program, od katerega je bilo 140 ur skupnih vsebin, 20 ur pa so si lahko svetovalci izbrali kot izbirno vsebino, glede na značilnosti strank, s katerimi so delali. Pedagoški inštitut je naredil </w:t>
      </w:r>
      <w:hyperlink r:id="rId15" w:history="1">
        <w:r w:rsidRPr="00C34EEC">
          <w:rPr>
            <w:rStyle w:val="Hiperpovezava"/>
            <w:rFonts w:ascii="Arial" w:hAnsi="Arial" w:cs="Arial"/>
            <w:sz w:val="21"/>
            <w:szCs w:val="21"/>
          </w:rPr>
          <w:t>Evalvacijo izobraževanja</w:t>
        </w:r>
      </w:hyperlink>
      <w:r>
        <w:rPr>
          <w:rFonts w:ascii="Arial" w:hAnsi="Arial" w:cs="Arial"/>
          <w:sz w:val="21"/>
          <w:szCs w:val="21"/>
        </w:rPr>
        <w:t xml:space="preserve">, da se program v naslednjem izvajanju še izboljša. </w:t>
      </w:r>
    </w:p>
    <w:p w:rsidR="00CE0DA6" w:rsidRDefault="00CE0DA6">
      <w:pPr>
        <w:spacing w:after="0"/>
        <w:ind w:left="708"/>
        <w:rPr>
          <w:rFonts w:ascii="Arial" w:hAnsi="Arial" w:cs="Arial"/>
          <w:sz w:val="21"/>
          <w:szCs w:val="21"/>
        </w:rPr>
      </w:pPr>
    </w:p>
    <w:p w:rsidR="00CE0DA6" w:rsidRDefault="004E2BB1">
      <w:pPr>
        <w:spacing w:after="0"/>
        <w:rPr>
          <w:rFonts w:ascii="Arial" w:hAnsi="Arial" w:cs="Arial"/>
          <w:b/>
          <w:sz w:val="21"/>
          <w:szCs w:val="21"/>
        </w:rPr>
      </w:pPr>
      <w:r>
        <w:rPr>
          <w:rFonts w:ascii="Arial" w:hAnsi="Arial" w:cs="Arial"/>
          <w:b/>
          <w:sz w:val="21"/>
          <w:szCs w:val="21"/>
        </w:rPr>
        <w:t>Izvajanje kratkih brezplačnih izobraževanj s področja VKO za karierne svetovalce:</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usposabljanja s področja podjetništva,</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poklicna orientacija za neodločene mlade,</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psihodiagnostika v kadrovski selekciji,</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 xml:space="preserve">vseživljenjska karierna </w:t>
      </w:r>
      <w:r w:rsidRPr="004E2BB1">
        <w:rPr>
          <w:rFonts w:ascii="Arial" w:hAnsi="Arial" w:cs="Arial"/>
          <w:sz w:val="21"/>
          <w:szCs w:val="21"/>
        </w:rPr>
        <w:t>orientacija.za</w:t>
      </w:r>
      <w:r>
        <w:rPr>
          <w:rFonts w:ascii="Arial" w:hAnsi="Arial" w:cs="Arial"/>
          <w:sz w:val="21"/>
          <w:szCs w:val="21"/>
        </w:rPr>
        <w:t xml:space="preserve"> šolske svetovalne delavce,</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selekcijski intervju,</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Kam in kako,</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Razgovor o kariernem samorazvoju.</w:t>
      </w:r>
    </w:p>
    <w:p w:rsidR="00CE0DA6" w:rsidRDefault="00CE0DA6">
      <w:pPr>
        <w:pStyle w:val="Odstavekseznama"/>
        <w:ind w:left="1428"/>
        <w:rPr>
          <w:rFonts w:ascii="Arial" w:hAnsi="Arial" w:cs="Arial"/>
          <w:sz w:val="21"/>
          <w:szCs w:val="21"/>
        </w:rPr>
      </w:pPr>
    </w:p>
    <w:p w:rsidR="00CE0DA6" w:rsidRDefault="004E2BB1">
      <w:pPr>
        <w:spacing w:after="0"/>
        <w:rPr>
          <w:rFonts w:ascii="Arial" w:hAnsi="Arial" w:cs="Arial"/>
          <w:b/>
          <w:sz w:val="21"/>
          <w:szCs w:val="21"/>
        </w:rPr>
      </w:pPr>
      <w:r>
        <w:rPr>
          <w:rFonts w:ascii="Arial" w:hAnsi="Arial" w:cs="Arial"/>
          <w:b/>
          <w:sz w:val="21"/>
          <w:szCs w:val="21"/>
        </w:rPr>
        <w:t>Standardi kakovosti VKO</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Tuje analize VKO so pokazale, da je za kakovostno izvajanje VKO potreben usposobljen in zavzet kader ter upoštevanje nekaterih usmeritev za kvalitetno izvajanje. Za usposobljen kader smo razvili MUKS, ki je izvajalcem VKO zagotovil dovolj teoretičnega in praktičnega izobraževanja.</w:t>
      </w:r>
    </w:p>
    <w:p w:rsidR="00CE0DA6" w:rsidRDefault="004E2BB1">
      <w:pPr>
        <w:pStyle w:val="Odstavekseznama"/>
        <w:numPr>
          <w:ilvl w:val="0"/>
          <w:numId w:val="1"/>
        </w:numPr>
        <w:rPr>
          <w:rFonts w:ascii="Arial" w:hAnsi="Arial" w:cs="Arial"/>
          <w:sz w:val="21"/>
          <w:szCs w:val="21"/>
        </w:rPr>
      </w:pPr>
      <w:r>
        <w:rPr>
          <w:rFonts w:ascii="Arial" w:hAnsi="Arial" w:cs="Arial"/>
          <w:sz w:val="21"/>
          <w:szCs w:val="21"/>
        </w:rPr>
        <w:t xml:space="preserve">Glede usmeritev za kakovostno delo na področju VKO smo oblikovali delovno skupino, ki je pripravila usmeritve, dovolj splošne in torej veljavne na vseh različnih področjih VKO. Tako so nastale </w:t>
      </w:r>
      <w:hyperlink r:id="rId16" w:history="1">
        <w:r>
          <w:rPr>
            <w:rStyle w:val="Hiperpovezava"/>
            <w:rFonts w:ascii="Arial" w:hAnsi="Arial" w:cs="Arial"/>
            <w:sz w:val="21"/>
            <w:szCs w:val="21"/>
          </w:rPr>
          <w:t>Medresorske smernice kakovosti vseživljenjske karierne orientacije</w:t>
        </w:r>
      </w:hyperlink>
      <w:r>
        <w:rPr>
          <w:rFonts w:ascii="Arial" w:hAnsi="Arial" w:cs="Arial"/>
          <w:sz w:val="21"/>
          <w:szCs w:val="21"/>
        </w:rPr>
        <w:t>.</w:t>
      </w:r>
    </w:p>
    <w:p w:rsidR="00CE0DA6" w:rsidRDefault="00CE0DA6"/>
    <w:p w:rsidR="00CE0DA6" w:rsidRDefault="004E2BB1">
      <w:r>
        <w:lastRenderedPageBreak/>
        <w:t> </w:t>
      </w:r>
      <w:r>
        <w:rPr>
          <w:noProof/>
          <w:lang w:eastAsia="sl-SI"/>
        </w:rPr>
        <w:drawing>
          <wp:inline distT="0" distB="0" distL="0" distR="0">
            <wp:extent cx="3333750" cy="923924"/>
            <wp:effectExtent l="0" t="0" r="0" b="9525"/>
            <wp:docPr id="1027" name="Slika 1" descr="Evropski socialni skl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7" cstate="print"/>
                    <a:srcRect/>
                    <a:stretch/>
                  </pic:blipFill>
                  <pic:spPr>
                    <a:xfrm>
                      <a:off x="0" y="0"/>
                      <a:ext cx="3333750" cy="923924"/>
                    </a:xfrm>
                    <a:prstGeom prst="rect">
                      <a:avLst/>
                    </a:prstGeom>
                    <a:ln>
                      <a:noFill/>
                    </a:ln>
                  </pic:spPr>
                </pic:pic>
              </a:graphicData>
            </a:graphic>
          </wp:inline>
        </w:drawing>
      </w:r>
    </w:p>
    <w:p w:rsidR="00CE0DA6" w:rsidRDefault="004E2BB1">
      <w:pPr>
        <w:rPr>
          <w:rFonts w:ascii="Arial" w:hAnsi="Arial" w:cs="Arial"/>
          <w:sz w:val="16"/>
          <w:szCs w:val="16"/>
        </w:rPr>
      </w:pPr>
      <w:r>
        <w:rPr>
          <w:rFonts w:ascii="Arial" w:hAnsi="Arial" w:cs="Arial"/>
          <w:sz w:val="16"/>
          <w:szCs w:val="16"/>
        </w:rPr>
        <w:t>Operacija se izvaja v okviru Operativnega programa razvoja človeških virov za obdobje 2007-2013, v okviru 5. razvojne prioritete Institucionalna in administrativna usposobljenost in 5.2. prednostne usmeritve Reforma institucij na trgu dela. Operacijo delno financira Evropska unija, in sicer iz Evropskega socialnega sklada. Operacija se izvaja v okviru Operativnega programa razvoja človeških virov za obdobje 2007-2013. Program bo v višini 85 % sofinanciran iz sredstev Evropskega socialnega sklada, PP 6849, 15 % sredstev pa bo zagotovljenih iz proračuna RS, PP 6998.</w:t>
      </w:r>
    </w:p>
    <w:p w:rsidR="00CE0DA6" w:rsidRDefault="00CE0DA6"/>
    <w:sectPr w:rsidR="00CE0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000002"/>
    <w:multiLevelType w:val="hybridMultilevel"/>
    <w:tmpl w:val="C74C55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2FC903E"/>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00000004"/>
    <w:multiLevelType w:val="hybridMultilevel"/>
    <w:tmpl w:val="2670DE6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06B4775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332EB3B0"/>
    <w:lvl w:ilvl="0" w:tplc="04240005">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00000007"/>
    <w:multiLevelType w:val="multilevel"/>
    <w:tmpl w:val="F9BEA9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2F52BC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FF68DB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hybridMultilevel"/>
    <w:tmpl w:val="F97E1A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000000B"/>
    <w:multiLevelType w:val="multilevel"/>
    <w:tmpl w:val="69B6FAF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C"/>
    <w:multiLevelType w:val="hybridMultilevel"/>
    <w:tmpl w:val="F79CE3CA"/>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C08C7332"/>
    <w:lvl w:ilvl="0" w:tplc="AEF434FC">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000000E"/>
    <w:multiLevelType w:val="hybridMultilevel"/>
    <w:tmpl w:val="A2AC50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744D79D8"/>
    <w:multiLevelType w:val="multilevel"/>
    <w:tmpl w:val="FF20F8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1"/>
  </w:num>
  <w:num w:numId="2">
    <w:abstractNumId w:val="14"/>
  </w:num>
  <w:num w:numId="3">
    <w:abstractNumId w:val="10"/>
  </w:num>
  <w:num w:numId="4">
    <w:abstractNumId w:val="8"/>
  </w:num>
  <w:num w:numId="5">
    <w:abstractNumId w:val="9"/>
  </w:num>
  <w:num w:numId="6">
    <w:abstractNumId w:val="12"/>
  </w:num>
  <w:num w:numId="7">
    <w:abstractNumId w:val="13"/>
  </w:num>
  <w:num w:numId="8">
    <w:abstractNumId w:val="1"/>
  </w:num>
  <w:num w:numId="9">
    <w:abstractNumId w:val="4"/>
  </w:num>
  <w:num w:numId="10">
    <w:abstractNumId w:val="2"/>
  </w:num>
  <w:num w:numId="11">
    <w:abstractNumId w:val="3"/>
  </w:num>
  <w:num w:numId="12">
    <w:abstractNumId w:val="6"/>
  </w:num>
  <w:num w:numId="13">
    <w:abstractNumId w:val="7"/>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A6"/>
    <w:rsid w:val="004E2BB1"/>
    <w:rsid w:val="00A53672"/>
    <w:rsid w:val="00C34EEC"/>
    <w:rsid w:val="00CE0D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BC7C"/>
  <w15:docId w15:val="{242150E2-EF04-46C1-8E13-4B96FB59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sl-SI" w:eastAsia="en-US" w:bidi="ar-SA"/>
      </w:rPr>
    </w:rPrDefault>
    <w:pPrDefault>
      <w:pPr>
        <w:spacing w:after="160" w:line="251"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320" w:after="40"/>
      <w:outlineLvl w:val="0"/>
    </w:pPr>
    <w:rPr>
      <w:rFonts w:ascii="Calibri Light" w:hAnsi="Calibri Light"/>
      <w:b/>
      <w:bCs/>
      <w:caps/>
      <w:spacing w:val="4"/>
      <w:sz w:val="28"/>
      <w:szCs w:val="28"/>
    </w:rPr>
  </w:style>
  <w:style w:type="paragraph" w:styleId="Naslov2">
    <w:name w:val="heading 2"/>
    <w:basedOn w:val="Navaden"/>
    <w:next w:val="Navaden"/>
    <w:link w:val="Naslov2Znak"/>
    <w:uiPriority w:val="9"/>
    <w:qFormat/>
    <w:pPr>
      <w:keepNext/>
      <w:keepLines/>
      <w:spacing w:before="120" w:after="0"/>
      <w:outlineLvl w:val="1"/>
    </w:pPr>
    <w:rPr>
      <w:rFonts w:ascii="Calibri Light" w:hAnsi="Calibri Light"/>
      <w:b/>
      <w:bCs/>
      <w:sz w:val="28"/>
      <w:szCs w:val="28"/>
    </w:rPr>
  </w:style>
  <w:style w:type="paragraph" w:styleId="Naslov3">
    <w:name w:val="heading 3"/>
    <w:basedOn w:val="Navaden"/>
    <w:next w:val="Navaden"/>
    <w:link w:val="Naslov3Znak"/>
    <w:uiPriority w:val="9"/>
    <w:qFormat/>
    <w:pPr>
      <w:keepNext/>
      <w:keepLines/>
      <w:spacing w:before="120" w:after="0"/>
      <w:outlineLvl w:val="2"/>
    </w:pPr>
    <w:rPr>
      <w:rFonts w:ascii="Calibri Light" w:hAnsi="Calibri Light"/>
      <w:spacing w:val="4"/>
      <w:sz w:val="24"/>
      <w:szCs w:val="24"/>
    </w:rPr>
  </w:style>
  <w:style w:type="paragraph" w:styleId="Naslov4">
    <w:name w:val="heading 4"/>
    <w:basedOn w:val="Navaden"/>
    <w:next w:val="Navaden"/>
    <w:link w:val="Naslov4Znak"/>
    <w:uiPriority w:val="9"/>
    <w:qFormat/>
    <w:pPr>
      <w:keepNext/>
      <w:keepLines/>
      <w:spacing w:before="120" w:after="0"/>
      <w:outlineLvl w:val="3"/>
    </w:pPr>
    <w:rPr>
      <w:rFonts w:ascii="Calibri Light" w:hAnsi="Calibri Light"/>
      <w:i/>
      <w:iCs/>
      <w:sz w:val="24"/>
      <w:szCs w:val="24"/>
    </w:rPr>
  </w:style>
  <w:style w:type="paragraph" w:styleId="Naslov5">
    <w:name w:val="heading 5"/>
    <w:basedOn w:val="Navaden"/>
    <w:next w:val="Navaden"/>
    <w:link w:val="Naslov5Znak"/>
    <w:uiPriority w:val="9"/>
    <w:qFormat/>
    <w:pPr>
      <w:keepNext/>
      <w:keepLines/>
      <w:spacing w:before="120" w:after="0"/>
      <w:outlineLvl w:val="4"/>
    </w:pPr>
    <w:rPr>
      <w:rFonts w:ascii="Calibri Light" w:hAnsi="Calibri Light"/>
      <w:b/>
      <w:bCs/>
    </w:rPr>
  </w:style>
  <w:style w:type="paragraph" w:styleId="Naslov6">
    <w:name w:val="heading 6"/>
    <w:basedOn w:val="Navaden"/>
    <w:next w:val="Navaden"/>
    <w:link w:val="Naslov6Znak"/>
    <w:uiPriority w:val="9"/>
    <w:qFormat/>
    <w:pPr>
      <w:keepNext/>
      <w:keepLines/>
      <w:spacing w:before="120" w:after="0"/>
      <w:outlineLvl w:val="5"/>
    </w:pPr>
    <w:rPr>
      <w:rFonts w:ascii="Calibri Light" w:hAnsi="Calibri Light"/>
      <w:b/>
      <w:bCs/>
      <w:i/>
      <w:iCs/>
    </w:rPr>
  </w:style>
  <w:style w:type="paragraph" w:styleId="Naslov7">
    <w:name w:val="heading 7"/>
    <w:basedOn w:val="Navaden"/>
    <w:next w:val="Navaden"/>
    <w:link w:val="Naslov7Znak"/>
    <w:uiPriority w:val="9"/>
    <w:qFormat/>
    <w:pPr>
      <w:keepNext/>
      <w:keepLines/>
      <w:spacing w:before="120" w:after="0"/>
      <w:outlineLvl w:val="6"/>
    </w:pPr>
    <w:rPr>
      <w:i/>
      <w:iCs/>
    </w:rPr>
  </w:style>
  <w:style w:type="paragraph" w:styleId="Naslov8">
    <w:name w:val="heading 8"/>
    <w:basedOn w:val="Navaden"/>
    <w:next w:val="Navaden"/>
    <w:link w:val="Naslov8Znak"/>
    <w:uiPriority w:val="9"/>
    <w:qFormat/>
    <w:pPr>
      <w:keepNext/>
      <w:keepLines/>
      <w:spacing w:before="120" w:after="0"/>
      <w:outlineLvl w:val="7"/>
    </w:pPr>
    <w:rPr>
      <w:b/>
      <w:bCs/>
    </w:rPr>
  </w:style>
  <w:style w:type="paragraph" w:styleId="Naslov9">
    <w:name w:val="heading 9"/>
    <w:basedOn w:val="Navaden"/>
    <w:next w:val="Navaden"/>
    <w:link w:val="Naslov9Znak"/>
    <w:uiPriority w:val="9"/>
    <w:qFormat/>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Calibri Light" w:eastAsia="SimSun" w:hAnsi="Calibri Light" w:cs="SimSun"/>
      <w:b/>
      <w:bCs/>
      <w:caps/>
      <w:spacing w:val="4"/>
      <w:sz w:val="28"/>
      <w:szCs w:val="28"/>
    </w:rPr>
  </w:style>
  <w:style w:type="character" w:customStyle="1" w:styleId="Naslov2Znak">
    <w:name w:val="Naslov 2 Znak"/>
    <w:basedOn w:val="Privzetapisavaodstavka"/>
    <w:link w:val="Naslov2"/>
    <w:uiPriority w:val="9"/>
    <w:rPr>
      <w:rFonts w:ascii="Calibri Light" w:eastAsia="SimSun" w:hAnsi="Calibri Light" w:cs="SimSun"/>
      <w:b/>
      <w:bCs/>
      <w:sz w:val="28"/>
      <w:szCs w:val="28"/>
    </w:rPr>
  </w:style>
  <w:style w:type="paragraph" w:styleId="Navadensplet">
    <w:name w:val="Normal (Web)"/>
    <w:basedOn w:val="Navaden"/>
    <w:uiPriority w:val="9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Pr>
      <w:b/>
      <w:bCs/>
      <w:color w:val="auto"/>
    </w:rPr>
  </w:style>
  <w:style w:type="character" w:styleId="Hiperpovezava">
    <w:name w:val="Hyperlink"/>
    <w:basedOn w:val="Privzetapisavaodstavka"/>
    <w:uiPriority w:val="99"/>
    <w:rPr>
      <w:color w:val="0000FF"/>
      <w:u w:val="single"/>
    </w:rPr>
  </w:style>
  <w:style w:type="paragraph" w:styleId="Brezrazmikov">
    <w:name w:val="No Spacing"/>
    <w:uiPriority w:val="1"/>
    <w:qFormat/>
    <w:pPr>
      <w:spacing w:after="0" w:line="240" w:lineRule="auto"/>
    </w:pPr>
  </w:style>
  <w:style w:type="paragraph" w:styleId="Besedilooblaka">
    <w:name w:val="Balloon Text"/>
    <w:basedOn w:val="Navaden"/>
    <w:link w:val="BesedilooblakaZnak"/>
    <w:uiPriority w:val="9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Pr>
      <w:rFonts w:ascii="Segoe UI" w:hAnsi="Segoe UI" w:cs="Segoe UI"/>
      <w:sz w:val="18"/>
      <w:szCs w:val="18"/>
    </w:rPr>
  </w:style>
  <w:style w:type="paragraph" w:styleId="Odstavekseznama">
    <w:name w:val="List Paragraph"/>
    <w:basedOn w:val="Navaden"/>
    <w:uiPriority w:val="34"/>
    <w:qFormat/>
    <w:pPr>
      <w:ind w:left="720"/>
      <w:contextualSpacing/>
    </w:pPr>
  </w:style>
  <w:style w:type="character" w:styleId="SledenaHiperpovezava">
    <w:name w:val="FollowedHyperlink"/>
    <w:basedOn w:val="Privzetapisavaodstavka"/>
    <w:uiPriority w:val="99"/>
    <w:rPr>
      <w:color w:val="954F72"/>
      <w:u w:val="single"/>
    </w:rPr>
  </w:style>
  <w:style w:type="paragraph" w:styleId="Sprotnaopomba-besedilo">
    <w:name w:val="footnote text"/>
    <w:basedOn w:val="Navaden"/>
    <w:link w:val="Sprotnaopomba-besediloZnak"/>
    <w:uiPriority w:val="9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Pr>
      <w:sz w:val="20"/>
      <w:szCs w:val="20"/>
    </w:rPr>
  </w:style>
  <w:style w:type="character" w:styleId="Sprotnaopomba-sklic">
    <w:name w:val="footnote reference"/>
    <w:basedOn w:val="Privzetapisavaodstavka"/>
    <w:uiPriority w:val="99"/>
    <w:rPr>
      <w:vertAlign w:val="superscript"/>
    </w:rPr>
  </w:style>
  <w:style w:type="character" w:customStyle="1" w:styleId="Naslov3Znak">
    <w:name w:val="Naslov 3 Znak"/>
    <w:basedOn w:val="Privzetapisavaodstavka"/>
    <w:link w:val="Naslov3"/>
    <w:uiPriority w:val="9"/>
    <w:rPr>
      <w:rFonts w:ascii="Calibri Light" w:eastAsia="SimSun" w:hAnsi="Calibri Light" w:cs="SimSun"/>
      <w:spacing w:val="4"/>
      <w:sz w:val="24"/>
      <w:szCs w:val="24"/>
    </w:rPr>
  </w:style>
  <w:style w:type="character" w:customStyle="1" w:styleId="Naslov4Znak">
    <w:name w:val="Naslov 4 Znak"/>
    <w:basedOn w:val="Privzetapisavaodstavka"/>
    <w:link w:val="Naslov4"/>
    <w:uiPriority w:val="9"/>
    <w:rPr>
      <w:rFonts w:ascii="Calibri Light" w:eastAsia="SimSun" w:hAnsi="Calibri Light" w:cs="SimSun"/>
      <w:i/>
      <w:iCs/>
      <w:sz w:val="24"/>
      <w:szCs w:val="24"/>
    </w:rPr>
  </w:style>
  <w:style w:type="character" w:customStyle="1" w:styleId="Naslov5Znak">
    <w:name w:val="Naslov 5 Znak"/>
    <w:basedOn w:val="Privzetapisavaodstavka"/>
    <w:link w:val="Naslov5"/>
    <w:uiPriority w:val="9"/>
    <w:rPr>
      <w:rFonts w:ascii="Calibri Light" w:eastAsia="SimSun" w:hAnsi="Calibri Light" w:cs="SimSun"/>
      <w:b/>
      <w:bCs/>
    </w:rPr>
  </w:style>
  <w:style w:type="character" w:customStyle="1" w:styleId="Naslov6Znak">
    <w:name w:val="Naslov 6 Znak"/>
    <w:basedOn w:val="Privzetapisavaodstavka"/>
    <w:link w:val="Naslov6"/>
    <w:uiPriority w:val="9"/>
    <w:rPr>
      <w:rFonts w:ascii="Calibri Light" w:eastAsia="SimSun" w:hAnsi="Calibri Light" w:cs="SimSun"/>
      <w:b/>
      <w:bCs/>
      <w:i/>
      <w:iCs/>
    </w:rPr>
  </w:style>
  <w:style w:type="character" w:customStyle="1" w:styleId="Naslov7Znak">
    <w:name w:val="Naslov 7 Znak"/>
    <w:basedOn w:val="Privzetapisavaodstavka"/>
    <w:link w:val="Naslov7"/>
    <w:uiPriority w:val="9"/>
    <w:rPr>
      <w:i/>
      <w:iCs/>
    </w:rPr>
  </w:style>
  <w:style w:type="character" w:customStyle="1" w:styleId="Naslov8Znak">
    <w:name w:val="Naslov 8 Znak"/>
    <w:basedOn w:val="Privzetapisavaodstavka"/>
    <w:link w:val="Naslov8"/>
    <w:uiPriority w:val="9"/>
    <w:rPr>
      <w:b/>
      <w:bCs/>
    </w:rPr>
  </w:style>
  <w:style w:type="character" w:customStyle="1" w:styleId="Naslov9Znak">
    <w:name w:val="Naslov 9 Znak"/>
    <w:basedOn w:val="Privzetapisavaodstavka"/>
    <w:link w:val="Naslov9"/>
    <w:uiPriority w:val="9"/>
    <w:rPr>
      <w:i/>
      <w:iCs/>
    </w:rPr>
  </w:style>
  <w:style w:type="paragraph" w:styleId="Napis">
    <w:name w:val="caption"/>
    <w:basedOn w:val="Navaden"/>
    <w:next w:val="Navaden"/>
    <w:uiPriority w:val="35"/>
    <w:qFormat/>
    <w:rPr>
      <w:b/>
      <w:bCs/>
      <w:sz w:val="18"/>
      <w:szCs w:val="18"/>
    </w:rPr>
  </w:style>
  <w:style w:type="paragraph" w:styleId="Naslov">
    <w:name w:val="Title"/>
    <w:basedOn w:val="Navaden"/>
    <w:next w:val="Navaden"/>
    <w:link w:val="NaslovZnak"/>
    <w:uiPriority w:val="10"/>
    <w:qFormat/>
    <w:pPr>
      <w:spacing w:after="0" w:line="240" w:lineRule="auto"/>
      <w:contextualSpacing/>
      <w:jc w:val="center"/>
    </w:pPr>
    <w:rPr>
      <w:rFonts w:ascii="Calibri Light" w:hAnsi="Calibri Light"/>
      <w:b/>
      <w:bCs/>
      <w:spacing w:val="-7"/>
      <w:sz w:val="48"/>
      <w:szCs w:val="48"/>
    </w:rPr>
  </w:style>
  <w:style w:type="character" w:customStyle="1" w:styleId="NaslovZnak">
    <w:name w:val="Naslov Znak"/>
    <w:basedOn w:val="Privzetapisavaodstavka"/>
    <w:link w:val="Naslov"/>
    <w:uiPriority w:val="10"/>
    <w:rPr>
      <w:rFonts w:ascii="Calibri Light" w:eastAsia="SimSun" w:hAnsi="Calibri Light" w:cs="SimSun"/>
      <w:b/>
      <w:bCs/>
      <w:spacing w:val="-7"/>
      <w:sz w:val="48"/>
      <w:szCs w:val="48"/>
    </w:rPr>
  </w:style>
  <w:style w:type="paragraph" w:styleId="Podnaslov">
    <w:name w:val="Subtitle"/>
    <w:basedOn w:val="Navaden"/>
    <w:next w:val="Navaden"/>
    <w:link w:val="PodnaslovZnak"/>
    <w:uiPriority w:val="11"/>
    <w:qFormat/>
    <w:pPr>
      <w:numPr>
        <w:ilvl w:val="1"/>
      </w:numPr>
      <w:spacing w:after="240"/>
      <w:jc w:val="center"/>
    </w:pPr>
    <w:rPr>
      <w:rFonts w:ascii="Calibri Light" w:hAnsi="Calibri Light"/>
      <w:sz w:val="24"/>
      <w:szCs w:val="24"/>
    </w:rPr>
  </w:style>
  <w:style w:type="character" w:customStyle="1" w:styleId="PodnaslovZnak">
    <w:name w:val="Podnaslov Znak"/>
    <w:basedOn w:val="Privzetapisavaodstavka"/>
    <w:link w:val="Podnaslov"/>
    <w:uiPriority w:val="11"/>
    <w:rPr>
      <w:rFonts w:ascii="Calibri Light" w:eastAsia="SimSun" w:hAnsi="Calibri Light" w:cs="SimSun"/>
      <w:sz w:val="24"/>
      <w:szCs w:val="24"/>
    </w:rPr>
  </w:style>
  <w:style w:type="character" w:styleId="Poudarek">
    <w:name w:val="Emphasis"/>
    <w:basedOn w:val="Privzetapisavaodstavka"/>
    <w:uiPriority w:val="20"/>
    <w:qFormat/>
    <w:rPr>
      <w:i/>
      <w:iCs/>
      <w:color w:val="auto"/>
    </w:rPr>
  </w:style>
  <w:style w:type="paragraph" w:styleId="Citat">
    <w:name w:val="Quote"/>
    <w:basedOn w:val="Navaden"/>
    <w:next w:val="Navaden"/>
    <w:link w:val="CitatZnak"/>
    <w:uiPriority w:val="29"/>
    <w:qFormat/>
    <w:pPr>
      <w:spacing w:before="200" w:line="264" w:lineRule="auto"/>
      <w:ind w:left="864" w:right="864"/>
      <w:jc w:val="center"/>
    </w:pPr>
    <w:rPr>
      <w:rFonts w:ascii="Calibri Light" w:hAnsi="Calibri Light"/>
      <w:i/>
      <w:iCs/>
      <w:sz w:val="24"/>
      <w:szCs w:val="24"/>
    </w:rPr>
  </w:style>
  <w:style w:type="character" w:customStyle="1" w:styleId="CitatZnak">
    <w:name w:val="Citat Znak"/>
    <w:basedOn w:val="Privzetapisavaodstavka"/>
    <w:link w:val="Citat"/>
    <w:uiPriority w:val="29"/>
    <w:rPr>
      <w:rFonts w:ascii="Calibri Light" w:eastAsia="SimSun" w:hAnsi="Calibri Light" w:cs="SimSun"/>
      <w:i/>
      <w:iCs/>
      <w:sz w:val="24"/>
      <w:szCs w:val="24"/>
    </w:rPr>
  </w:style>
  <w:style w:type="paragraph" w:styleId="Intenzivencitat">
    <w:name w:val="Intense Quote"/>
    <w:basedOn w:val="Navaden"/>
    <w:next w:val="Navaden"/>
    <w:link w:val="IntenzivencitatZnak"/>
    <w:uiPriority w:val="30"/>
    <w:qFormat/>
    <w:pPr>
      <w:spacing w:before="100" w:beforeAutospacing="1" w:after="240"/>
      <w:ind w:left="936" w:right="936"/>
      <w:jc w:val="center"/>
    </w:pPr>
    <w:rPr>
      <w:rFonts w:ascii="Calibri Light" w:hAnsi="Calibri Light"/>
      <w:sz w:val="26"/>
      <w:szCs w:val="26"/>
    </w:rPr>
  </w:style>
  <w:style w:type="character" w:customStyle="1" w:styleId="IntenzivencitatZnak">
    <w:name w:val="Intenziven citat Znak"/>
    <w:basedOn w:val="Privzetapisavaodstavka"/>
    <w:link w:val="Intenzivencitat"/>
    <w:uiPriority w:val="30"/>
    <w:rPr>
      <w:rFonts w:ascii="Calibri Light" w:eastAsia="SimSun" w:hAnsi="Calibri Light" w:cs="SimSun"/>
      <w:sz w:val="26"/>
      <w:szCs w:val="26"/>
    </w:rPr>
  </w:style>
  <w:style w:type="character" w:styleId="Neenpoudarek">
    <w:name w:val="Subtle Emphasis"/>
    <w:basedOn w:val="Privzetapisavaodstavka"/>
    <w:uiPriority w:val="19"/>
    <w:qFormat/>
    <w:rPr>
      <w:i/>
      <w:iCs/>
      <w:color w:val="auto"/>
    </w:rPr>
  </w:style>
  <w:style w:type="character" w:styleId="Intenzivenpoudarek">
    <w:name w:val="Intense Emphasis"/>
    <w:basedOn w:val="Privzetapisavaodstavka"/>
    <w:uiPriority w:val="21"/>
    <w:qFormat/>
    <w:rPr>
      <w:b/>
      <w:bCs/>
      <w:i/>
      <w:iCs/>
      <w:color w:val="auto"/>
    </w:rPr>
  </w:style>
  <w:style w:type="character" w:styleId="Neensklic">
    <w:name w:val="Subtle Reference"/>
    <w:basedOn w:val="Privzetapisavaodstavka"/>
    <w:uiPriority w:val="31"/>
    <w:qFormat/>
    <w:rPr>
      <w:smallCaps/>
      <w:color w:val="auto"/>
      <w:u w:val="single" w:color="7F7F7F"/>
    </w:rPr>
  </w:style>
  <w:style w:type="character" w:styleId="Intenzivensklic">
    <w:name w:val="Intense Reference"/>
    <w:basedOn w:val="Privzetapisavaodstavka"/>
    <w:uiPriority w:val="32"/>
    <w:qFormat/>
    <w:rPr>
      <w:b/>
      <w:bCs/>
      <w:smallCaps/>
      <w:color w:val="auto"/>
      <w:u w:val="single"/>
    </w:rPr>
  </w:style>
  <w:style w:type="character" w:styleId="Naslovknjige">
    <w:name w:val="Book Title"/>
    <w:basedOn w:val="Privzetapisavaodstavka"/>
    <w:uiPriority w:val="33"/>
    <w:qFormat/>
    <w:rPr>
      <w:b/>
      <w:bCs/>
      <w:smallCaps/>
      <w:color w:val="auto"/>
    </w:rPr>
  </w:style>
  <w:style w:type="paragraph" w:styleId="NaslovTOC">
    <w:name w:val="TOC Heading"/>
    <w:basedOn w:val="Naslov1"/>
    <w:next w:val="Navaden"/>
    <w:uiPriority w:val="39"/>
    <w:qFormat/>
    <w:pPr>
      <w:outlineLvl w:val="9"/>
    </w:pPr>
  </w:style>
  <w:style w:type="character" w:styleId="Pripombasklic">
    <w:name w:val="annotation reference"/>
    <w:basedOn w:val="Privzetapisavaodstavka"/>
    <w:uiPriority w:val="99"/>
    <w:rPr>
      <w:sz w:val="16"/>
      <w:szCs w:val="16"/>
    </w:rPr>
  </w:style>
  <w:style w:type="paragraph" w:styleId="Pripombabesedilo">
    <w:name w:val="annotation text"/>
    <w:basedOn w:val="Navaden"/>
    <w:link w:val="PripombabesediloZnak"/>
    <w:uiPriority w:val="99"/>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paragraph" w:styleId="Zadevapripombe">
    <w:name w:val="annotation subject"/>
    <w:basedOn w:val="Pripombabesedilo"/>
    <w:next w:val="Pripombabesedilo"/>
    <w:link w:val="ZadevapripombeZnak"/>
    <w:uiPriority w:val="99"/>
    <w:rPr>
      <w:b/>
      <w:bCs/>
    </w:rPr>
  </w:style>
  <w:style w:type="character" w:customStyle="1" w:styleId="ZadevapripombeZnak">
    <w:name w:val="Zadeva pripombe Znak"/>
    <w:basedOn w:val="PripombabesediloZnak"/>
    <w:link w:val="Zadevapripombe"/>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vkotocka.si/wp-content/uploads/2018/05/Terminolo%C5%A1ki-slovar.pdf" TargetMode="External"/><Relationship Id="rId13" Type="http://schemas.openxmlformats.org/officeDocument/2006/relationships/hyperlink" Target="https://www.vkotocka.si/wp-content/uploads/2023/05/analiza_izobrazevanj_za_izvajalce-VKO-v-EU_niklanovi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kotocka.si/strokovna-skupina/" TargetMode="External"/><Relationship Id="rId12" Type="http://schemas.openxmlformats.org/officeDocument/2006/relationships/hyperlink" Target="https://www.vkotocka.si/wp-content/uploads/2023/05/pregled_izobrazevanja_v-Slo_Mojca_Polak_Williams-%E2%80%93-kopija.pdf"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vkotocka.si/wp-content/uploads/2018/09/ZRSZ-Medresorske-smernice-PRINT-1.pd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vkotocka.si/knjiznica/moja-izbira-moja-kariera-informacije-za-otroke-ucence-dijake-studente-mlade-in-odrasle-starse-in-strokovne-delavce/" TargetMode="External"/><Relationship Id="rId5" Type="http://schemas.openxmlformats.org/officeDocument/2006/relationships/webSettings" Target="webSettings.xml"/><Relationship Id="rId15" Type="http://schemas.openxmlformats.org/officeDocument/2006/relationships/hyperlink" Target="https://www.vkotocka.si/wp-content/uploads/2023/05/PI-Analiza_MUKS.pdf" TargetMode="External"/><Relationship Id="rId10" Type="http://schemas.openxmlformats.org/officeDocument/2006/relationships/hyperlink" Target="https://www.vkotocka.si/wp-content/uploads/2018/09/Politike-na-podro%C4%8Dju-vodenja-kariere-s-priporo%C4%8Dili.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gpn.eu/publications/browse-by-language/slovene/razvoj-politike-za-vsezivljenjsko-karierno-orientacijo-evropski-nabor-orodij/" TargetMode="External"/><Relationship Id="rId14" Type="http://schemas.openxmlformats.org/officeDocument/2006/relationships/hyperlink" Target="https://www.vkotocka.si/wp-content/uploads/2023/05/analiza_interesa_delodajalcev_niklanov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895E3-92B2-47E8-BCC8-0FDAF73F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Staša Bučar Markič</dc:creator>
  <cp:lastModifiedBy>Sonja Žmitek Govc</cp:lastModifiedBy>
  <cp:revision>2</cp:revision>
  <dcterms:created xsi:type="dcterms:W3CDTF">2023-05-26T03:55:00Z</dcterms:created>
  <dcterms:modified xsi:type="dcterms:W3CDTF">2023-05-26T03:55:00Z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a65f1decc5cd40c0aa4ab2a14a1a2b13</vt:lpwstr>
  </property>
</Properties>
</file>