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91" w:rsidRPr="005D7691" w:rsidRDefault="005D7691" w:rsidP="005D7691">
      <w:pPr>
        <w:rPr>
          <w:sz w:val="24"/>
          <w:szCs w:val="24"/>
        </w:rPr>
      </w:pPr>
      <w:bookmarkStart w:id="0" w:name="_GoBack"/>
      <w:bookmarkEnd w:id="0"/>
      <w:r w:rsidRPr="005D7691">
        <w:rPr>
          <w:sz w:val="24"/>
          <w:szCs w:val="24"/>
        </w:rPr>
        <w:t>Datum: 6.2.2018</w:t>
      </w:r>
    </w:p>
    <w:p w:rsidR="005D7691" w:rsidRDefault="005D7691" w:rsidP="005D7691">
      <w:pPr>
        <w:rPr>
          <w:b/>
          <w:sz w:val="24"/>
          <w:szCs w:val="24"/>
        </w:rPr>
      </w:pPr>
    </w:p>
    <w:p w:rsidR="005D7691" w:rsidRPr="005D7691" w:rsidRDefault="005D7691" w:rsidP="005D7691">
      <w:pPr>
        <w:rPr>
          <w:b/>
        </w:rPr>
      </w:pPr>
      <w:r>
        <w:rPr>
          <w:b/>
          <w:sz w:val="24"/>
          <w:szCs w:val="24"/>
        </w:rPr>
        <w:t>Zadeva:</w:t>
      </w:r>
      <w:r w:rsidR="00125461" w:rsidRPr="001869A3">
        <w:rPr>
          <w:b/>
          <w:sz w:val="24"/>
          <w:szCs w:val="24"/>
        </w:rPr>
        <w:t xml:space="preserve"> </w:t>
      </w:r>
      <w:r w:rsidRPr="005D7691">
        <w:rPr>
          <w:b/>
        </w:rPr>
        <w:t>Zapisnik sestanka VKO skupine dne 6.2.2018</w:t>
      </w:r>
    </w:p>
    <w:p w:rsidR="005D7691" w:rsidRDefault="005D7691" w:rsidP="005D7691"/>
    <w:p w:rsidR="005D7691" w:rsidRDefault="005D7691" w:rsidP="005D7691">
      <w:r>
        <w:t xml:space="preserve">Prisotni: Tanja </w:t>
      </w:r>
      <w:proofErr w:type="spellStart"/>
      <w:r>
        <w:t>Vilič</w:t>
      </w:r>
      <w:proofErr w:type="spellEnd"/>
      <w:r>
        <w:t xml:space="preserve"> Klenovšek, ACS, Zlata Šlibar, ZRSZ, Staša Bučar Markič, ZRSZ, Brigita Rupar, ZRSŠ, Miha Lovšin, CPI Mojca </w:t>
      </w:r>
      <w:proofErr w:type="spellStart"/>
      <w:r>
        <w:t>Štepic</w:t>
      </w:r>
      <w:proofErr w:type="spellEnd"/>
      <w:r>
        <w:t xml:space="preserve">, MGRT, Saša </w:t>
      </w:r>
      <w:proofErr w:type="spellStart"/>
      <w:r>
        <w:t>Niklanovič</w:t>
      </w:r>
      <w:proofErr w:type="spellEnd"/>
      <w:r>
        <w:t xml:space="preserve">, DKOS, Maja </w:t>
      </w:r>
      <w:proofErr w:type="spellStart"/>
      <w:r>
        <w:t>Dizdarevič</w:t>
      </w:r>
      <w:proofErr w:type="spellEnd"/>
      <w:r>
        <w:t xml:space="preserve">, KC UNI LJ, Mateja Gornik Mrvar, MIZŠ, Darja </w:t>
      </w:r>
      <w:proofErr w:type="spellStart"/>
      <w:r>
        <w:t>Čot</w:t>
      </w:r>
      <w:proofErr w:type="spellEnd"/>
      <w:r>
        <w:t xml:space="preserve">, MDDSZ, Barbara </w:t>
      </w:r>
      <w:proofErr w:type="spellStart"/>
      <w:r>
        <w:t>Leder</w:t>
      </w:r>
      <w:proofErr w:type="spellEnd"/>
      <w:r>
        <w:t xml:space="preserve"> JŠRIPSRS, Katja  </w:t>
      </w:r>
      <w:proofErr w:type="spellStart"/>
      <w:r>
        <w:t>Dovžak</w:t>
      </w:r>
      <w:proofErr w:type="spellEnd"/>
      <w:r>
        <w:t>, MIZŠ.</w:t>
      </w:r>
    </w:p>
    <w:p w:rsidR="005D7691" w:rsidRDefault="005D7691" w:rsidP="005D7691">
      <w:r>
        <w:t>Dnevni red:</w:t>
      </w:r>
    </w:p>
    <w:p w:rsidR="005D7691" w:rsidRDefault="005D769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030213">
        <w:rPr>
          <w:rFonts w:cs="Times New Roman"/>
        </w:rPr>
        <w:t>Potrditev zapisnika (10'</w:t>
      </w:r>
      <w:r>
        <w:rPr>
          <w:rFonts w:cs="Times New Roman"/>
        </w:rPr>
        <w:t xml:space="preserve"> - VSI</w:t>
      </w:r>
      <w:r w:rsidRPr="00030213">
        <w:rPr>
          <w:rFonts w:cs="Times New Roman"/>
        </w:rPr>
        <w:t>)</w:t>
      </w:r>
    </w:p>
    <w:p w:rsidR="005D7691" w:rsidRDefault="005D769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Poročilo 2017 (20' – VSI)</w:t>
      </w:r>
    </w:p>
    <w:p w:rsidR="005D7691" w:rsidRDefault="005D769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Delovni načrt 2018 (30' – vsi)</w:t>
      </w:r>
    </w:p>
    <w:p w:rsidR="005D7691" w:rsidRDefault="005D769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Posodobitev članstva (20' – VSI)</w:t>
      </w:r>
    </w:p>
    <w:p w:rsidR="005D7691" w:rsidRPr="00030213" w:rsidRDefault="005D769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Razno (15')</w:t>
      </w:r>
    </w:p>
    <w:p w:rsidR="005D7691" w:rsidRDefault="005D7691" w:rsidP="005D7691"/>
    <w:p w:rsidR="005D7691" w:rsidRDefault="005D7691" w:rsidP="005D7691">
      <w:r>
        <w:t>1)Pregled zapisnika</w:t>
      </w:r>
    </w:p>
    <w:p w:rsidR="005D7691" w:rsidRDefault="005D7691" w:rsidP="005D7691">
      <w:pPr>
        <w:jc w:val="both"/>
      </w:pPr>
      <w:r>
        <w:t>Sporočilo iz Talina je prevedeno. Bo priloga k letnemu poročilu. Popravek: članek v reviji Vodenje sta objavila Miha Lovšin in Tatjana Ažman.</w:t>
      </w:r>
    </w:p>
    <w:p w:rsidR="005D7691" w:rsidRDefault="005D7691" w:rsidP="005D7691">
      <w:pPr>
        <w:jc w:val="both"/>
      </w:pPr>
      <w:r>
        <w:t xml:space="preserve">Osnutek letnega poročila je pripravila Staša. Zraven izvajalcev se napiše se njihova institucija. K poročilu bodo dodani kazalniki kakovosti. Na začetku poročila naj bo kratek povzetek s ključnimi ugotovitvami, ki so navedene v nadaljevanju. </w:t>
      </w:r>
    </w:p>
    <w:p w:rsidR="005D7691" w:rsidRDefault="005D7691" w:rsidP="005D7691">
      <w:pPr>
        <w:jc w:val="both"/>
      </w:pPr>
      <w:r>
        <w:t>Zapisnik se popravi v prv</w:t>
      </w:r>
      <w:r w:rsidR="00F26F5B">
        <w:t>em</w:t>
      </w:r>
      <w:r>
        <w:t xml:space="preserve"> stavk</w:t>
      </w:r>
      <w:r w:rsidR="00F26F5B">
        <w:t>u predzadnje alinee, tako, da se</w:t>
      </w:r>
      <w:r>
        <w:t xml:space="preserve"> </w:t>
      </w:r>
      <w:r w:rsidR="00F26F5B">
        <w:t>stavek glasi</w:t>
      </w:r>
      <w:r>
        <w:t xml:space="preserve">: </w:t>
      </w:r>
      <w:r w:rsidRPr="005D7691">
        <w:t>Tatjana Ažman in Miha Lovšin sta objavila članek v reviji Vodenje</w:t>
      </w:r>
      <w:r>
        <w:t>.</w:t>
      </w:r>
    </w:p>
    <w:p w:rsidR="005D7691" w:rsidRDefault="005D7691" w:rsidP="005D7691">
      <w:pPr>
        <w:rPr>
          <w:b/>
        </w:rPr>
      </w:pPr>
      <w:r w:rsidRPr="001D6782">
        <w:rPr>
          <w:b/>
        </w:rPr>
        <w:t>Sklep: do 15. februarja Miha</w:t>
      </w:r>
      <w:r w:rsidR="00F26F5B">
        <w:rPr>
          <w:b/>
        </w:rPr>
        <w:t xml:space="preserve"> Lovšin</w:t>
      </w:r>
      <w:r w:rsidRPr="001D6782">
        <w:rPr>
          <w:b/>
        </w:rPr>
        <w:t xml:space="preserve"> in Staša</w:t>
      </w:r>
      <w:r w:rsidR="00F26F5B">
        <w:rPr>
          <w:b/>
        </w:rPr>
        <w:t xml:space="preserve"> Bučar Markič</w:t>
      </w:r>
      <w:r w:rsidRPr="001D6782">
        <w:rPr>
          <w:b/>
        </w:rPr>
        <w:t xml:space="preserve"> vneseta popravke in dopolnitve skladno z dogovorjenim na sestanku in poročilo pošljeta naslovnikom.</w:t>
      </w:r>
      <w:r>
        <w:rPr>
          <w:b/>
        </w:rPr>
        <w:t xml:space="preserve"> Poročilo gre k ministrici za izobraževanje ter vsem navedenim v dopisu. </w:t>
      </w:r>
    </w:p>
    <w:p w:rsidR="005D7691" w:rsidRDefault="005D7691" w:rsidP="005D7691">
      <w:r w:rsidRPr="001D6782">
        <w:t xml:space="preserve">2) </w:t>
      </w:r>
      <w:r>
        <w:t xml:space="preserve">Delovni načrt </w:t>
      </w:r>
      <w:r w:rsidRPr="001D6782">
        <w:t xml:space="preserve"> za leto 2018</w:t>
      </w:r>
    </w:p>
    <w:p w:rsidR="005D7691" w:rsidRDefault="005D7691" w:rsidP="005D7691">
      <w:r>
        <w:t xml:space="preserve">Medsebojno informiranje ostane,  Smernice za zagotavljanje kakovosti ostanejo, Sodelovanje na strokovnih dogodkih ostane.  Organizacija posveta bo skupaj z Društvom za karierno orientacijo, ZRSZ in  Euroguidance. Ciljna skupina posveta so svetovalci zaposlitve v vseh sektorjih, svetovalni delavci šol, pravzaprav praktiki, ki delajo na tem področju. </w:t>
      </w:r>
      <w:r w:rsidR="0051255E">
        <w:t>SSVKO se strinja, da p</w:t>
      </w:r>
      <w:r>
        <w:t>ri oblikovanju programa sodelujejo Sašo</w:t>
      </w:r>
      <w:r w:rsidR="0051255E">
        <w:t xml:space="preserve"> Niklanovič</w:t>
      </w:r>
      <w:r>
        <w:t>, Maja</w:t>
      </w:r>
      <w:r w:rsidR="0051255E">
        <w:t xml:space="preserve"> Dizdarević</w:t>
      </w:r>
      <w:r>
        <w:t>, Staša</w:t>
      </w:r>
      <w:r w:rsidR="0051255E">
        <w:t xml:space="preserve"> Bučar Markič</w:t>
      </w:r>
      <w:r>
        <w:t>, Zlata</w:t>
      </w:r>
      <w:r w:rsidR="0051255E">
        <w:t xml:space="preserve"> Šlibar</w:t>
      </w:r>
      <w:r>
        <w:t>, Barbara</w:t>
      </w:r>
      <w:r w:rsidR="0051255E">
        <w:t xml:space="preserve"> Leder</w:t>
      </w:r>
      <w:r>
        <w:t>, Miha</w:t>
      </w:r>
      <w:r w:rsidR="0051255E">
        <w:t xml:space="preserve"> Lovšin</w:t>
      </w:r>
      <w:r>
        <w:t xml:space="preserve">. </w:t>
      </w:r>
    </w:p>
    <w:p w:rsidR="005D7691" w:rsidRDefault="005D7691" w:rsidP="005D7691">
      <w:r>
        <w:t>Katja predlaga, da se vnese v delovni načrt seznanitev skupine z izvajanjem  VKO na področju višjega strokovnega izobraževanja.</w:t>
      </w:r>
    </w:p>
    <w:p w:rsidR="005D7691" w:rsidRDefault="005D7691" w:rsidP="005D7691">
      <w:r w:rsidRPr="005802B0">
        <w:rPr>
          <w:b/>
        </w:rPr>
        <w:lastRenderedPageBreak/>
        <w:t xml:space="preserve">Sklep: </w:t>
      </w:r>
      <w:r w:rsidR="0051255E">
        <w:rPr>
          <w:b/>
        </w:rPr>
        <w:t>P</w:t>
      </w:r>
      <w:r w:rsidRPr="005802B0">
        <w:rPr>
          <w:b/>
        </w:rPr>
        <w:t>rvi sestanek programskega odbora uskladi in skliče Sašo Niklanovič do 15.2</w:t>
      </w:r>
      <w:r>
        <w:t>.</w:t>
      </w:r>
      <w:r w:rsidR="00F26F5B">
        <w:t>2018</w:t>
      </w:r>
    </w:p>
    <w:p w:rsidR="005D7691" w:rsidRDefault="005D7691" w:rsidP="005D7691">
      <w:pPr>
        <w:rPr>
          <w:b/>
        </w:rPr>
      </w:pPr>
      <w:r w:rsidRPr="00F26F5B">
        <w:rPr>
          <w:b/>
        </w:rPr>
        <w:t xml:space="preserve">Sklep: Miha pošlje vsem članom tabelo projektov za posodobitev.  Maja do naslednjič predstavi kratek koncept povezovanja na FB. </w:t>
      </w:r>
    </w:p>
    <w:p w:rsidR="0063279D" w:rsidRPr="00F26F5B" w:rsidRDefault="0063279D" w:rsidP="005D7691">
      <w:pPr>
        <w:rPr>
          <w:b/>
        </w:rPr>
      </w:pPr>
      <w:r>
        <w:rPr>
          <w:b/>
        </w:rPr>
        <w:t xml:space="preserve">Sklep: Miha pošlje vsem članom osnutek delovnega načrta 2018 v morebitno dopolnitev po tem, ko Tanja </w:t>
      </w:r>
      <w:proofErr w:type="spellStart"/>
      <w:r>
        <w:rPr>
          <w:b/>
        </w:rPr>
        <w:t>Vilič</w:t>
      </w:r>
      <w:proofErr w:type="spellEnd"/>
      <w:r>
        <w:rPr>
          <w:b/>
        </w:rPr>
        <w:t xml:space="preserve"> Klenovšek, Gorazd Jenko in Maja Dizdarević dopolnijo že dogovorjene vsebine. </w:t>
      </w:r>
    </w:p>
    <w:p w:rsidR="005D7691" w:rsidRDefault="005D7691" w:rsidP="005D7691">
      <w:r>
        <w:t>2) Sprememba članstva</w:t>
      </w:r>
    </w:p>
    <w:p w:rsidR="005D7691" w:rsidRDefault="005D7691" w:rsidP="005D7691">
      <w:r>
        <w:t xml:space="preserve">Darja </w:t>
      </w:r>
      <w:proofErr w:type="spellStart"/>
      <w:r>
        <w:t>Čot</w:t>
      </w:r>
      <w:proofErr w:type="spellEnd"/>
      <w:r>
        <w:t xml:space="preserve"> sporoči ime člana MDDSZ do 15.2. Katja</w:t>
      </w:r>
      <w:r w:rsidR="0034684E">
        <w:t xml:space="preserve"> </w:t>
      </w:r>
      <w:proofErr w:type="spellStart"/>
      <w:r w:rsidR="0034684E">
        <w:t>Dovžak</w:t>
      </w:r>
      <w:proofErr w:type="spellEnd"/>
      <w:r>
        <w:t xml:space="preserve"> predlaga, da se v skupino vključi predstavnika višjih strokovnih šol, bo sporočila ime. Direktorico Urada za šolstvo Stanko Lunder Verlič se zaprosi </w:t>
      </w:r>
      <w:r w:rsidR="0034684E">
        <w:t>za nadomestilo Maje Krušič Šega.</w:t>
      </w:r>
      <w:r>
        <w:t xml:space="preserve"> Enkrat letno se na sestanke povabi predstavnike zbornic, sindikatov in drugih socialnih partnerjev,  da se jih seznani z delom skupine.</w:t>
      </w:r>
    </w:p>
    <w:p w:rsidR="005D7691" w:rsidRDefault="005D7691" w:rsidP="005D7691">
      <w:r w:rsidRPr="00814400">
        <w:rPr>
          <w:b/>
        </w:rPr>
        <w:t>Sklep: soglasno smo sprejeli, da predstavnikov zbornic in delodajalcev ter študentskih servisov</w:t>
      </w:r>
      <w:r>
        <w:rPr>
          <w:b/>
        </w:rPr>
        <w:t xml:space="preserve"> in drugih socialnih partnerjev</w:t>
      </w:r>
      <w:r w:rsidRPr="00814400">
        <w:rPr>
          <w:b/>
        </w:rPr>
        <w:t xml:space="preserve"> ne predlagamo za redne člane skupine zaradi morebitnega konflikta interesov</w:t>
      </w:r>
      <w:r>
        <w:t xml:space="preserve">. </w:t>
      </w:r>
    </w:p>
    <w:p w:rsidR="0034684E" w:rsidRDefault="0034684E" w:rsidP="005D7691">
      <w:pPr>
        <w:rPr>
          <w:b/>
        </w:rPr>
      </w:pPr>
      <w:r w:rsidRPr="0034684E">
        <w:rPr>
          <w:b/>
        </w:rPr>
        <w:t xml:space="preserve">Sklep: </w:t>
      </w:r>
      <w:r>
        <w:rPr>
          <w:b/>
        </w:rPr>
        <w:t xml:space="preserve">Soglasno smo sprejeli, da se iz seznama članstva črta Roberta Rajštra, Marlen </w:t>
      </w:r>
      <w:proofErr w:type="spellStart"/>
      <w:r>
        <w:rPr>
          <w:b/>
        </w:rPr>
        <w:t>Skarlovnik</w:t>
      </w:r>
      <w:proofErr w:type="spellEnd"/>
      <w:r>
        <w:rPr>
          <w:b/>
        </w:rPr>
        <w:t xml:space="preserve">, Meto </w:t>
      </w:r>
      <w:proofErr w:type="spellStart"/>
      <w:r>
        <w:rPr>
          <w:b/>
        </w:rPr>
        <w:t>Ponebšek</w:t>
      </w:r>
      <w:proofErr w:type="spellEnd"/>
      <w:r>
        <w:rPr>
          <w:b/>
        </w:rPr>
        <w:t xml:space="preserve">, Ireno Kuntarič Hribar, Majo Krušič Šega in se za imenovanje na novo predlaga Barbaro Leder, JŠRIPSRS, </w:t>
      </w:r>
      <w:r w:rsidR="00AA28B8">
        <w:rPr>
          <w:b/>
        </w:rPr>
        <w:t xml:space="preserve">in </w:t>
      </w:r>
      <w:r>
        <w:rPr>
          <w:b/>
        </w:rPr>
        <w:t xml:space="preserve">Mojco </w:t>
      </w:r>
      <w:proofErr w:type="spellStart"/>
      <w:r>
        <w:rPr>
          <w:b/>
        </w:rPr>
        <w:t>Štepic</w:t>
      </w:r>
      <w:proofErr w:type="spellEnd"/>
      <w:r>
        <w:rPr>
          <w:b/>
        </w:rPr>
        <w:t>, MGRT.</w:t>
      </w:r>
    </w:p>
    <w:p w:rsidR="0034684E" w:rsidRDefault="0034684E" w:rsidP="005D7691">
      <w:pPr>
        <w:rPr>
          <w:b/>
        </w:rPr>
      </w:pPr>
      <w:r>
        <w:rPr>
          <w:b/>
        </w:rPr>
        <w:t xml:space="preserve">Sklep: do 15.2.2018 Darja </w:t>
      </w:r>
      <w:proofErr w:type="spellStart"/>
      <w:r>
        <w:rPr>
          <w:b/>
        </w:rPr>
        <w:t>Čot</w:t>
      </w:r>
      <w:proofErr w:type="spellEnd"/>
      <w:r>
        <w:rPr>
          <w:b/>
        </w:rPr>
        <w:t xml:space="preserve"> in Katja </w:t>
      </w:r>
      <w:proofErr w:type="spellStart"/>
      <w:r>
        <w:rPr>
          <w:b/>
        </w:rPr>
        <w:t>Dovžak</w:t>
      </w:r>
      <w:proofErr w:type="spellEnd"/>
      <w:r>
        <w:rPr>
          <w:b/>
        </w:rPr>
        <w:t xml:space="preserve"> sporočita imena predstavnika MDDSZ, Urada za razvoj izobraževanja pri MIZŠ in predstavnika skupnosti Višjih strokovnih šol</w:t>
      </w:r>
      <w:r w:rsidR="00AA28B8">
        <w:rPr>
          <w:b/>
        </w:rPr>
        <w:t>, ki jih bomo prav tako predlagali v imenovanje za članstvo.</w:t>
      </w:r>
    </w:p>
    <w:p w:rsidR="00F26F5B" w:rsidRDefault="00F26F5B" w:rsidP="005D7691">
      <w:pPr>
        <w:rPr>
          <w:b/>
        </w:rPr>
      </w:pPr>
    </w:p>
    <w:p w:rsidR="005D7691" w:rsidRDefault="0034684E" w:rsidP="005D7691">
      <w:r>
        <w:rPr>
          <w:b/>
        </w:rPr>
        <w:br/>
      </w:r>
      <w:r w:rsidR="005D7691">
        <w:t>3) Razno</w:t>
      </w:r>
    </w:p>
    <w:p w:rsidR="005D7691" w:rsidRDefault="005D7691" w:rsidP="0034684E">
      <w:pPr>
        <w:pStyle w:val="Odstavekseznama"/>
        <w:numPr>
          <w:ilvl w:val="0"/>
          <w:numId w:val="6"/>
        </w:numPr>
      </w:pPr>
      <w:r>
        <w:t xml:space="preserve">Mojca </w:t>
      </w:r>
      <w:proofErr w:type="spellStart"/>
      <w:r>
        <w:t>Štepic</w:t>
      </w:r>
      <w:proofErr w:type="spellEnd"/>
      <w:r>
        <w:t xml:space="preserve"> poroča o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– koordinator MIZŠ (Urad za razvoj izobraževanje). Cilj je, da pridejo z ukrepi, ki bodo združili potrebe izobraževanja in trga dela oziroma uredili neskladja. Gradivo bo priloženo zapisniku. V letni načrt smo dodali umestitev priporočil na področju VKO v akcijski načrt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</w:t>
      </w:r>
    </w:p>
    <w:p w:rsidR="005D7691" w:rsidRDefault="005D7691" w:rsidP="0034684E">
      <w:pPr>
        <w:pStyle w:val="Odstavekseznama"/>
        <w:numPr>
          <w:ilvl w:val="0"/>
          <w:numId w:val="6"/>
        </w:numPr>
      </w:pPr>
      <w:r>
        <w:t>Zlata poroča o iniciativi EU Predlog sodelovanja med javnimi zavodi za zaposlovanje in izobraževanjem/šolami za boljši prehod na trg dela. Gradivo bo priloženo zapisniku.</w:t>
      </w:r>
    </w:p>
    <w:p w:rsidR="005D7691" w:rsidRDefault="005D7691" w:rsidP="0034684E">
      <w:pPr>
        <w:pStyle w:val="Odstavekseznama"/>
        <w:numPr>
          <w:ilvl w:val="0"/>
          <w:numId w:val="6"/>
        </w:numPr>
      </w:pPr>
      <w:r>
        <w:t>Miha Lovšin ponovno opomni člane, da bo okrogla miza o distinkciji med profesionalnim razvojem in kariernim razvojem, kamor so povabljeni vsi člani, dne 23.3.2018.</w:t>
      </w:r>
    </w:p>
    <w:p w:rsidR="0034684E" w:rsidRDefault="0034684E" w:rsidP="005D7691"/>
    <w:p w:rsidR="005D7691" w:rsidRDefault="005D7691" w:rsidP="005D7691">
      <w:r>
        <w:t>Naslednja seja bo 7. marca ob 13. uri.</w:t>
      </w:r>
    </w:p>
    <w:p w:rsidR="005D7691" w:rsidRDefault="005D7691" w:rsidP="005D7691">
      <w:r>
        <w:t>Zapisala: Brigita Rupar</w:t>
      </w:r>
    </w:p>
    <w:sectPr w:rsidR="005D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96" w:rsidRDefault="009E6596" w:rsidP="00DB50FA">
      <w:pPr>
        <w:spacing w:after="0" w:line="240" w:lineRule="auto"/>
      </w:pPr>
      <w:r>
        <w:separator/>
      </w:r>
    </w:p>
  </w:endnote>
  <w:endnote w:type="continuationSeparator" w:id="0">
    <w:p w:rsidR="009E6596" w:rsidRDefault="009E6596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96" w:rsidRDefault="009E6596" w:rsidP="00DB50FA">
      <w:pPr>
        <w:spacing w:after="0" w:line="240" w:lineRule="auto"/>
      </w:pPr>
      <w:r>
        <w:separator/>
      </w:r>
    </w:p>
  </w:footnote>
  <w:footnote w:type="continuationSeparator" w:id="0">
    <w:p w:rsidR="009E6596" w:rsidRDefault="009E6596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A" w:rsidRPr="00ED2CA4" w:rsidRDefault="00DB50FA" w:rsidP="00DB50FA">
    <w:pPr>
      <w:pStyle w:val="Glava"/>
      <w:ind w:left="-567"/>
    </w:pPr>
    <w:r>
      <w:rPr>
        <w:noProof/>
        <w:lang w:eastAsia="sl-SI"/>
      </w:rPr>
      <w:drawing>
        <wp:inline distT="0" distB="0" distL="0" distR="0" wp14:anchorId="5D1F0E19" wp14:editId="0B6CCD6C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150C5" wp14:editId="7B5479AB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2CC88BC" wp14:editId="2BA678A1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2C6E745C" wp14:editId="2472A5EB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54008F" wp14:editId="7AA66622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CA90DAD" wp14:editId="5C7E9244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EBE3488" wp14:editId="61F252F2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D20AA">
      <w:rPr>
        <w:noProof/>
        <w:lang w:eastAsia="sl-SI"/>
      </w:rPr>
      <w:drawing>
        <wp:inline distT="0" distB="0" distL="0" distR="0" wp14:anchorId="6943E3D2" wp14:editId="6C87E7FF">
          <wp:extent cx="1063195" cy="407442"/>
          <wp:effectExtent l="0" t="0" r="3810" b="0"/>
          <wp:docPr id="1" name="Slika 1" descr="http://www.sklad-kadri.si/fileadmin/dokumenti/Logotipi/SRIP_logo_final_RGB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lad-kadri.si/fileadmin/dokumenti/Logotipi/SRIP_logo_final_RGB_SL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830" cy="41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F34A5A1" wp14:editId="51C2F6F1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3F88534B" wp14:editId="6BF0329E">
          <wp:extent cx="1085850" cy="169136"/>
          <wp:effectExtent l="0" t="0" r="0" b="254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60" cy="17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8D2D773" wp14:editId="4BA040F3">
          <wp:extent cx="1314450" cy="277607"/>
          <wp:effectExtent l="0" t="0" r="0" b="825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934" cy="29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E892F3" wp14:editId="3E5A6AF7">
          <wp:extent cx="1685925" cy="235750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0FA" w:rsidRPr="0070682E" w:rsidRDefault="00DB50FA" w:rsidP="00DB50FA">
    <w:pPr>
      <w:pStyle w:val="Glava"/>
    </w:pPr>
  </w:p>
  <w:p w:rsidR="00DB50FA" w:rsidRDefault="00DB50FA">
    <w:pPr>
      <w:pStyle w:val="Glava"/>
    </w:pPr>
  </w:p>
  <w:p w:rsidR="00DB50FA" w:rsidRDefault="00DB50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25"/>
    <w:multiLevelType w:val="hybridMultilevel"/>
    <w:tmpl w:val="A8382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4B2F"/>
    <w:multiLevelType w:val="hybridMultilevel"/>
    <w:tmpl w:val="112E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D5B15"/>
    <w:multiLevelType w:val="hybridMultilevel"/>
    <w:tmpl w:val="518CF1B2"/>
    <w:lvl w:ilvl="0" w:tplc="9D2E5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44AB"/>
    <w:multiLevelType w:val="hybridMultilevel"/>
    <w:tmpl w:val="33D031EE"/>
    <w:lvl w:ilvl="0" w:tplc="5F3283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1"/>
    <w:rsid w:val="000039C0"/>
    <w:rsid w:val="00017816"/>
    <w:rsid w:val="00020CD0"/>
    <w:rsid w:val="00056559"/>
    <w:rsid w:val="00125461"/>
    <w:rsid w:val="001869A3"/>
    <w:rsid w:val="001E74E2"/>
    <w:rsid w:val="00234098"/>
    <w:rsid w:val="002A7EB7"/>
    <w:rsid w:val="0034684E"/>
    <w:rsid w:val="00436D88"/>
    <w:rsid w:val="004408AF"/>
    <w:rsid w:val="00503CF3"/>
    <w:rsid w:val="0051255E"/>
    <w:rsid w:val="00535ADD"/>
    <w:rsid w:val="00592066"/>
    <w:rsid w:val="005D7691"/>
    <w:rsid w:val="0063279D"/>
    <w:rsid w:val="006510CD"/>
    <w:rsid w:val="006B108F"/>
    <w:rsid w:val="006D2378"/>
    <w:rsid w:val="006D5E15"/>
    <w:rsid w:val="006F45F1"/>
    <w:rsid w:val="00754FA2"/>
    <w:rsid w:val="007E5CE2"/>
    <w:rsid w:val="00813233"/>
    <w:rsid w:val="00826023"/>
    <w:rsid w:val="00916B71"/>
    <w:rsid w:val="009326F3"/>
    <w:rsid w:val="009C5B0A"/>
    <w:rsid w:val="009E6596"/>
    <w:rsid w:val="00A62AC8"/>
    <w:rsid w:val="00AA28B8"/>
    <w:rsid w:val="00AB2B5C"/>
    <w:rsid w:val="00AE068A"/>
    <w:rsid w:val="00AE74E2"/>
    <w:rsid w:val="00B568AD"/>
    <w:rsid w:val="00BA45AE"/>
    <w:rsid w:val="00BD20AA"/>
    <w:rsid w:val="00C04D0B"/>
    <w:rsid w:val="00C105FC"/>
    <w:rsid w:val="00C146A9"/>
    <w:rsid w:val="00C2519B"/>
    <w:rsid w:val="00D26088"/>
    <w:rsid w:val="00D503AD"/>
    <w:rsid w:val="00D91449"/>
    <w:rsid w:val="00D931F8"/>
    <w:rsid w:val="00DB50FA"/>
    <w:rsid w:val="00DB543A"/>
    <w:rsid w:val="00DB79DF"/>
    <w:rsid w:val="00E36B0B"/>
    <w:rsid w:val="00E751C0"/>
    <w:rsid w:val="00E979C8"/>
    <w:rsid w:val="00EE673E"/>
    <w:rsid w:val="00EF3E37"/>
    <w:rsid w:val="00F03203"/>
    <w:rsid w:val="00F26F5B"/>
    <w:rsid w:val="00F4305A"/>
    <w:rsid w:val="00FD616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13599-D679-40B3-B049-FB19206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l\Documents\Officeove%20predloge%20po%20meri\Zapisnik%20skupine%20VKO%20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66A2-C662-422E-86B8-793B0880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novi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Lovšin</dc:creator>
  <cp:lastModifiedBy>andraz.ravnikar@gmail.com</cp:lastModifiedBy>
  <cp:revision>2</cp:revision>
  <dcterms:created xsi:type="dcterms:W3CDTF">2018-09-14T08:04:00Z</dcterms:created>
  <dcterms:modified xsi:type="dcterms:W3CDTF">2018-09-14T08:04:00Z</dcterms:modified>
</cp:coreProperties>
</file>