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10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62" w:rsidRDefault="00CE0A20" w:rsidP="005E4202">
      <w:pPr>
        <w:jc w:val="both"/>
      </w:pPr>
      <w:r>
        <w:t>Zapisnik delovne skupine za kakovost</w:t>
      </w:r>
      <w:r w:rsidR="00A25F9B">
        <w:t xml:space="preserve"> 30.10</w:t>
      </w:r>
      <w:r w:rsidR="00256E62">
        <w:t>.2017</w:t>
      </w:r>
    </w:p>
    <w:p w:rsidR="00256E62" w:rsidRDefault="00256E62" w:rsidP="005E4202">
      <w:pPr>
        <w:jc w:val="both"/>
      </w:pPr>
    </w:p>
    <w:p w:rsidR="00CE0A20" w:rsidRDefault="00A25F9B" w:rsidP="00CE0A20">
      <w:pPr>
        <w:jc w:val="both"/>
      </w:pPr>
      <w:r>
        <w:t>Člani</w:t>
      </w:r>
      <w:r w:rsidR="00256E62">
        <w:t xml:space="preserve">: </w:t>
      </w:r>
      <w:r w:rsidR="00CE0A20">
        <w:t xml:space="preserve">Tanja </w:t>
      </w:r>
      <w:proofErr w:type="spellStart"/>
      <w:r w:rsidR="00CE0A20">
        <w:t>Vilič</w:t>
      </w:r>
      <w:proofErr w:type="spellEnd"/>
      <w:r w:rsidR="00CE0A20">
        <w:t xml:space="preserve"> Klenovšek</w:t>
      </w:r>
      <w:r w:rsidR="00256E62">
        <w:t xml:space="preserve">, </w:t>
      </w:r>
      <w:r w:rsidR="00CE0A20" w:rsidRPr="00CE0A20">
        <w:t>Brigita Rupar, Tatjana Ažman</w:t>
      </w:r>
      <w:r w:rsidR="00CE0A20">
        <w:t>,</w:t>
      </w:r>
      <w:r w:rsidR="00CE0A20" w:rsidRPr="00CE0A20">
        <w:t xml:space="preserve"> </w:t>
      </w:r>
      <w:r>
        <w:t>Nika Perinčič, Staša Bučar Markič</w:t>
      </w:r>
      <w:r w:rsidR="00256E62">
        <w:t>.</w:t>
      </w:r>
    </w:p>
    <w:p w:rsidR="00CE0A20" w:rsidRDefault="00CE0A20" w:rsidP="00CE0A20"/>
    <w:p w:rsidR="00A25F9B" w:rsidRPr="00A702D1" w:rsidRDefault="00A25F9B" w:rsidP="00CE0A20">
      <w:pPr>
        <w:rPr>
          <w:b/>
          <w:u w:val="single"/>
        </w:rPr>
      </w:pPr>
      <w:r w:rsidRPr="00A702D1">
        <w:rPr>
          <w:b/>
          <w:u w:val="single"/>
        </w:rPr>
        <w:t>Kontekst:</w:t>
      </w:r>
    </w:p>
    <w:p w:rsidR="00D62BAD" w:rsidRDefault="00D62BAD" w:rsidP="00D62BAD">
      <w:pPr>
        <w:spacing w:after="0"/>
      </w:pPr>
      <w:r w:rsidRPr="00D62BAD">
        <w:t xml:space="preserve">MIZŠ </w:t>
      </w:r>
      <w:r>
        <w:t xml:space="preserve">je </w:t>
      </w:r>
      <w:r w:rsidRPr="00D62BAD">
        <w:t>novembra 2015</w:t>
      </w:r>
      <w:r>
        <w:t xml:space="preserve"> pripravilo</w:t>
      </w:r>
      <w:r w:rsidRPr="00D62BAD">
        <w:t xml:space="preserve"> </w:t>
      </w:r>
      <w:r>
        <w:t>Konferenco</w:t>
      </w:r>
      <w:r w:rsidRPr="00D62BAD">
        <w:t xml:space="preserve"> KEKS</w:t>
      </w:r>
      <w:r>
        <w:t>, kjer je predstavilo</w:t>
      </w:r>
      <w:r w:rsidRPr="00D62BAD">
        <w:t xml:space="preserve"> nov Nacionalni okvir za ugotavljanje in zagotavljanje kakovosti na področju vzgoje in izobraževanja</w:t>
      </w:r>
      <w:r>
        <w:t xml:space="preserve"> (VIZ)</w:t>
      </w:r>
      <w:r w:rsidRPr="00D62BAD">
        <w:t>. S</w:t>
      </w:r>
      <w:r>
        <w:t>trokovna skupina je</w:t>
      </w:r>
      <w:r w:rsidRPr="00D62BAD">
        <w:t xml:space="preserve"> na konferenci predstavila Medresorske smernice kakovosti VKO</w:t>
      </w:r>
      <w:r>
        <w:t xml:space="preserve"> in sicer</w:t>
      </w:r>
      <w:r w:rsidRPr="00D62BAD">
        <w:t xml:space="preserve"> v </w:t>
      </w:r>
      <w:r>
        <w:t>delavnici Zagotavljanje kakovosti vseživljenjske orientacije v šoli</w:t>
      </w:r>
      <w:r w:rsidRPr="00D62BAD">
        <w:t>. Na delavnici prisotni so podprli predlog, da bi karierna orientacije in še zlasti učenje veščin vodenja kariere morali biti vključeni v zagotavljanje kakovosti VIZ.</w:t>
      </w:r>
    </w:p>
    <w:p w:rsidR="008A397E" w:rsidRDefault="008A397E" w:rsidP="00D62BAD">
      <w:pPr>
        <w:spacing w:after="0"/>
      </w:pPr>
    </w:p>
    <w:p w:rsidR="00125849" w:rsidRDefault="008A397E" w:rsidP="00125849">
      <w:pPr>
        <w:spacing w:after="0"/>
      </w:pPr>
      <w:r>
        <w:t xml:space="preserve">MIZŠ ima za razvijanje in preizkušanje </w:t>
      </w:r>
      <w:r w:rsidR="00125849">
        <w:t xml:space="preserve">Nacionalnega okvirja </w:t>
      </w:r>
      <w:r>
        <w:t xml:space="preserve">imenovanih več podskupin in skupno koordinacijo. </w:t>
      </w:r>
      <w:r w:rsidR="00125849">
        <w:t>Podskupine so zadolžene za posamezne izobraževalne ravni in za posamezne tematske sklope (npr. tematski sklop učenje in poučevanje zajema dosežke učencev, klima in kultura v šoli in profesionalni razvoj).</w:t>
      </w:r>
    </w:p>
    <w:p w:rsidR="008A397E" w:rsidRDefault="008A397E" w:rsidP="00A25F9B">
      <w:pPr>
        <w:spacing w:after="0"/>
      </w:pPr>
    </w:p>
    <w:p w:rsidR="00A25F9B" w:rsidRDefault="00A25F9B" w:rsidP="00A25F9B">
      <w:pPr>
        <w:spacing w:after="0"/>
      </w:pPr>
      <w:r>
        <w:t>Strokovna skupina je sprva id</w:t>
      </w:r>
      <w:r w:rsidR="00125849">
        <w:t>entificirala dva tematska sklopa</w:t>
      </w:r>
      <w:r>
        <w:t>, kjer bi bilo treba vključiti VKO:</w:t>
      </w:r>
    </w:p>
    <w:p w:rsidR="00A25F9B" w:rsidRDefault="00A25F9B" w:rsidP="00A25F9B">
      <w:pPr>
        <w:pStyle w:val="Odstavekseznama"/>
        <w:numPr>
          <w:ilvl w:val="0"/>
          <w:numId w:val="3"/>
        </w:numPr>
        <w:spacing w:after="0"/>
      </w:pPr>
      <w:r w:rsidRPr="00A25F9B">
        <w:t>profesionalni razvoj učiteljev</w:t>
      </w:r>
      <w:r>
        <w:t xml:space="preserve"> </w:t>
      </w:r>
    </w:p>
    <w:p w:rsidR="00A25F9B" w:rsidRDefault="00A25F9B" w:rsidP="00A25F9B">
      <w:pPr>
        <w:pStyle w:val="Odstavekseznama"/>
        <w:numPr>
          <w:ilvl w:val="0"/>
          <w:numId w:val="3"/>
        </w:numPr>
        <w:spacing w:after="0"/>
      </w:pPr>
      <w:r w:rsidRPr="00A25F9B">
        <w:t>dosežki učencev</w:t>
      </w:r>
    </w:p>
    <w:p w:rsidR="00125849" w:rsidRDefault="00125849" w:rsidP="00CE0A20"/>
    <w:p w:rsidR="00CE0A20" w:rsidRDefault="00E85C2A" w:rsidP="00CE0A20">
      <w:r>
        <w:t>Strokovna skupina je januarja sprejela sklep, d</w:t>
      </w:r>
      <w:r w:rsidR="00125849">
        <w:t xml:space="preserve">a se njeni člani vključijo v </w:t>
      </w:r>
      <w:r w:rsidR="00560887">
        <w:t>ustrezne podskupine na MIZŠ</w:t>
      </w:r>
      <w:r>
        <w:t>,</w:t>
      </w:r>
      <w:r w:rsidR="00560887">
        <w:t xml:space="preserve"> vendar je bilo s</w:t>
      </w:r>
      <w:r>
        <w:t xml:space="preserve">tališče MIZŠ, da se </w:t>
      </w:r>
      <w:r w:rsidR="00560887">
        <w:t>skupine ne širi</w:t>
      </w:r>
      <w:r w:rsidR="00A702D1">
        <w:t>, da pa se z njimi izmenjajo pogledi</w:t>
      </w:r>
      <w:r>
        <w:t>.</w:t>
      </w:r>
    </w:p>
    <w:p w:rsidR="00CE0A20" w:rsidRDefault="00560887" w:rsidP="00CE0A20">
      <w:r>
        <w:t>V marcu</w:t>
      </w:r>
      <w:r w:rsidR="00E85C2A">
        <w:t xml:space="preserve"> je Strokovna skupina</w:t>
      </w:r>
      <w:r>
        <w:t xml:space="preserve"> za VKO </w:t>
      </w:r>
      <w:r w:rsidR="00A702D1">
        <w:t xml:space="preserve">definirala </w:t>
      </w:r>
      <w:r>
        <w:t>tematski področji, kjer bi se morala vključiti tudi karierna orientacija</w:t>
      </w:r>
      <w:r w:rsidR="00E85C2A">
        <w:t xml:space="preserve">: </w:t>
      </w:r>
    </w:p>
    <w:p w:rsidR="00E85C2A" w:rsidRDefault="005C6034" w:rsidP="00E85C2A">
      <w:pPr>
        <w:pStyle w:val="Odstavekseznama"/>
        <w:numPr>
          <w:ilvl w:val="0"/>
          <w:numId w:val="4"/>
        </w:numPr>
      </w:pPr>
      <w:r>
        <w:t xml:space="preserve">pri </w:t>
      </w:r>
      <w:r w:rsidR="00560887">
        <w:t>tematskem sklopu</w:t>
      </w:r>
      <w:r w:rsidR="00A702D1">
        <w:t xml:space="preserve"> »dosežki</w:t>
      </w:r>
      <w:r>
        <w:t xml:space="preserve"> učencev</w:t>
      </w:r>
      <w:r w:rsidR="00A702D1">
        <w:t>«</w:t>
      </w:r>
      <w:r>
        <w:t xml:space="preserve"> </w:t>
      </w:r>
      <w:r w:rsidR="00E85C2A">
        <w:t xml:space="preserve">je fokus na </w:t>
      </w:r>
      <w:r>
        <w:t xml:space="preserve">veščine vodenja kariere, </w:t>
      </w:r>
    </w:p>
    <w:p w:rsidR="005C6034" w:rsidRDefault="005C6034" w:rsidP="00560887">
      <w:pPr>
        <w:pStyle w:val="Odstavekseznama"/>
        <w:numPr>
          <w:ilvl w:val="0"/>
          <w:numId w:val="4"/>
        </w:numPr>
      </w:pPr>
      <w:r>
        <w:t xml:space="preserve">pri </w:t>
      </w:r>
      <w:r w:rsidR="00560887" w:rsidRPr="00560887">
        <w:t>tematskem sklopu</w:t>
      </w:r>
      <w:r w:rsidR="00A702D1">
        <w:t xml:space="preserve"> »</w:t>
      </w:r>
      <w:r>
        <w:t>profesio</w:t>
      </w:r>
      <w:r w:rsidR="00A702D1">
        <w:t>nalni razvoj</w:t>
      </w:r>
      <w:r w:rsidR="00E85C2A">
        <w:t xml:space="preserve"> učiteljev</w:t>
      </w:r>
      <w:r w:rsidR="00A702D1">
        <w:t>«</w:t>
      </w:r>
      <w:r w:rsidR="00E85C2A">
        <w:t xml:space="preserve"> pa na</w:t>
      </w:r>
    </w:p>
    <w:p w:rsidR="005C6034" w:rsidRDefault="00A702D1" w:rsidP="00A702D1">
      <w:pPr>
        <w:pStyle w:val="Odstavekseznama"/>
        <w:spacing w:after="0"/>
        <w:ind w:left="1080"/>
      </w:pPr>
      <w:r>
        <w:t xml:space="preserve">2.1. </w:t>
      </w:r>
      <w:r w:rsidR="005C6034">
        <w:t xml:space="preserve">kako učitelji ozavestijo lasten karierni razvoj in ga izvajajo  in </w:t>
      </w:r>
    </w:p>
    <w:p w:rsidR="00560887" w:rsidRDefault="00A702D1" w:rsidP="00560887">
      <w:pPr>
        <w:pStyle w:val="Odstavekseznama"/>
        <w:spacing w:after="0"/>
        <w:ind w:left="1080"/>
      </w:pPr>
      <w:r>
        <w:t xml:space="preserve">2.2. </w:t>
      </w:r>
      <w:r w:rsidR="005C6034">
        <w:t>kako učitelji vključujejo veščine vodenja kariere v delo z učenci.</w:t>
      </w:r>
    </w:p>
    <w:p w:rsidR="00A702D1" w:rsidRDefault="00560887" w:rsidP="005C6034">
      <w:r>
        <w:t xml:space="preserve">Strokovna skupina za VKO je </w:t>
      </w:r>
      <w:r w:rsidRPr="00560887">
        <w:t xml:space="preserve">na svoj sestanek </w:t>
      </w:r>
      <w:r w:rsidR="00796A23">
        <w:t xml:space="preserve">maja </w:t>
      </w:r>
      <w:r w:rsidRPr="00560887">
        <w:t>povabila vodje podskupin na MIZŠ</w:t>
      </w:r>
      <w:r>
        <w:t xml:space="preserve"> (Saša Grašič, Mateja Brejc, Gašper Cankar, Tatjana </w:t>
      </w:r>
      <w:proofErr w:type="spellStart"/>
      <w:r>
        <w:t>Krapše</w:t>
      </w:r>
      <w:proofErr w:type="spellEnd"/>
      <w:r>
        <w:t>)</w:t>
      </w:r>
      <w:r w:rsidR="00796A23">
        <w:t xml:space="preserve">. Na sestanku je </w:t>
      </w:r>
      <w:r w:rsidR="00A702D1">
        <w:t xml:space="preserve">Strokovna skupina za VKO predstavila svoje utemeljitve in priporočila ga. </w:t>
      </w:r>
      <w:proofErr w:type="spellStart"/>
      <w:r w:rsidR="00A702D1">
        <w:t>Krapše</w:t>
      </w:r>
      <w:proofErr w:type="spellEnd"/>
      <w:r w:rsidR="00A702D1">
        <w:t xml:space="preserve"> in g. Cankarju, ki </w:t>
      </w:r>
      <w:r w:rsidR="00796A23">
        <w:t xml:space="preserve">sta se sestanka udeležila. </w:t>
      </w:r>
      <w:r w:rsidR="00A702D1">
        <w:t>Sklep sestanka je</w:t>
      </w:r>
      <w:r w:rsidR="00796A23">
        <w:t xml:space="preserve"> bil</w:t>
      </w:r>
      <w:r w:rsidR="00A702D1">
        <w:t xml:space="preserve">, da </w:t>
      </w:r>
      <w:r w:rsidR="00796A23">
        <w:t>bosta prenesla</w:t>
      </w:r>
      <w:r w:rsidR="005C6034">
        <w:t xml:space="preserve"> </w:t>
      </w:r>
      <w:r w:rsidR="00796A23">
        <w:t>pobudo o nadaljnjem sodelovanju.</w:t>
      </w:r>
    </w:p>
    <w:p w:rsidR="005C6034" w:rsidRDefault="00A702D1" w:rsidP="005C6034">
      <w:r>
        <w:t xml:space="preserve">Strokovna skupina se </w:t>
      </w:r>
      <w:r w:rsidR="00796A23">
        <w:t xml:space="preserve">je </w:t>
      </w:r>
      <w:r>
        <w:t>odloči</w:t>
      </w:r>
      <w:r w:rsidR="00796A23">
        <w:t xml:space="preserve">la, da imenuje delovno skupino za pripravo kazalnikov, v sestavi Tanja </w:t>
      </w:r>
      <w:proofErr w:type="spellStart"/>
      <w:r w:rsidR="00796A23">
        <w:t>Vilič</w:t>
      </w:r>
      <w:proofErr w:type="spellEnd"/>
      <w:r w:rsidR="00796A23">
        <w:t xml:space="preserve"> Klenovšek</w:t>
      </w:r>
      <w:r w:rsidR="005C6034">
        <w:t xml:space="preserve">, Brigita Rupar, Tatjana Ažman, Nika Perinčič in Staša Bučar. </w:t>
      </w:r>
    </w:p>
    <w:p w:rsidR="005C6034" w:rsidRDefault="005C6034" w:rsidP="005C6034"/>
    <w:p w:rsidR="005C6034" w:rsidRPr="0094414F" w:rsidRDefault="00A702D1" w:rsidP="005C6034">
      <w:pPr>
        <w:rPr>
          <w:b/>
          <w:u w:val="single"/>
        </w:rPr>
      </w:pPr>
      <w:r w:rsidRPr="0094414F">
        <w:rPr>
          <w:b/>
          <w:u w:val="single"/>
        </w:rPr>
        <w:t>Delovna skupina za kakovost:</w:t>
      </w:r>
    </w:p>
    <w:p w:rsidR="00055069" w:rsidRDefault="0094414F" w:rsidP="00055069">
      <w:pPr>
        <w:pStyle w:val="Odstavekseznama"/>
        <w:numPr>
          <w:ilvl w:val="0"/>
          <w:numId w:val="6"/>
        </w:numPr>
      </w:pPr>
      <w:r>
        <w:t>sestanek 30.5.2017, že na sestanku se pripravi tekste predlogov za obe področji. Po se</w:t>
      </w:r>
      <w:r w:rsidR="00055069">
        <w:t>stanku delovna skupina dopisno u</w:t>
      </w:r>
      <w:r>
        <w:t>skl</w:t>
      </w:r>
      <w:r w:rsidR="00055069">
        <w:t>a</w:t>
      </w:r>
      <w:r>
        <w:t xml:space="preserve">di tekst in končno verzijo posreduje za naslednji sestanek Strokovne skupine. </w:t>
      </w:r>
    </w:p>
    <w:p w:rsidR="00055069" w:rsidRDefault="0094414F" w:rsidP="00055069">
      <w:pPr>
        <w:pStyle w:val="Odstavekseznama"/>
      </w:pPr>
      <w:r>
        <w:t xml:space="preserve">Na sestanku Strokovne skupine 6.7.2017 delovna skupina predstavi svoj predlog, v razpravi </w:t>
      </w:r>
      <w:r w:rsidR="00055069">
        <w:t>se izoblikuje mnenje, da naj d</w:t>
      </w:r>
      <w:r w:rsidR="00055069" w:rsidRPr="00055069">
        <w:t xml:space="preserve">elovna skupina dodatno oblikuje še kazalnike za področje </w:t>
      </w:r>
      <w:r w:rsidR="00055069">
        <w:t>»</w:t>
      </w:r>
      <w:r w:rsidR="00055069" w:rsidRPr="00055069">
        <w:t>Vodenje</w:t>
      </w:r>
      <w:r w:rsidR="00055069">
        <w:t>«</w:t>
      </w:r>
      <w:r w:rsidR="00055069" w:rsidRPr="00055069">
        <w:t xml:space="preserve"> in ga posreduje skupini.</w:t>
      </w:r>
    </w:p>
    <w:p w:rsidR="005B6ECE" w:rsidRPr="005B6ECE" w:rsidRDefault="005B6ECE" w:rsidP="005B6ECE"/>
    <w:p w:rsidR="005B6ECE" w:rsidRPr="005B6ECE" w:rsidRDefault="00055069" w:rsidP="00055069">
      <w:pPr>
        <w:pStyle w:val="Odstavekseznama"/>
        <w:numPr>
          <w:ilvl w:val="0"/>
          <w:numId w:val="6"/>
        </w:numPr>
      </w:pPr>
      <w:r>
        <w:t xml:space="preserve">sestanek 22.9.2017, delovna skupina dopolni predlog z področjem vodenja. </w:t>
      </w:r>
      <w:r w:rsidRPr="00055069">
        <w:t>Po sestanku delovna skupina dopisno uskladi tekst in končno verzijo posreduje za naslednji sestanek Strokovne skupine.</w:t>
      </w:r>
    </w:p>
    <w:p w:rsidR="005B6ECE" w:rsidRDefault="00055069" w:rsidP="00055069">
      <w:pPr>
        <w:ind w:left="708"/>
      </w:pPr>
      <w:r>
        <w:t>Na sestanku Strokovne skupine 18.10</w:t>
      </w:r>
      <w:r w:rsidRPr="00055069">
        <w:t>.2017 delovna skupina predstavi svoj predlog,</w:t>
      </w:r>
      <w:r>
        <w:t xml:space="preserve"> ki ga skupina potrdi in posreduje </w:t>
      </w:r>
      <w:r w:rsidRPr="00055069">
        <w:t xml:space="preserve">koordinatorki </w:t>
      </w:r>
      <w:r>
        <w:t>in vodjem področnih skupin in vseh skupin na MIZŠ.</w:t>
      </w:r>
    </w:p>
    <w:p w:rsidR="005C6034" w:rsidRPr="005B6ECE" w:rsidRDefault="005C6034" w:rsidP="005B6ECE"/>
    <w:sectPr w:rsidR="005C6034" w:rsidRPr="005B6ECE" w:rsidSect="005E4202">
      <w:head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5C" w:rsidRDefault="00690A5C" w:rsidP="00DB50FA">
      <w:pPr>
        <w:spacing w:after="0" w:line="240" w:lineRule="auto"/>
      </w:pPr>
      <w:r>
        <w:separator/>
      </w:r>
    </w:p>
  </w:endnote>
  <w:endnote w:type="continuationSeparator" w:id="0">
    <w:p w:rsidR="00690A5C" w:rsidRDefault="00690A5C" w:rsidP="00DB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5C" w:rsidRDefault="00690A5C" w:rsidP="00DB50FA">
      <w:pPr>
        <w:spacing w:after="0" w:line="240" w:lineRule="auto"/>
      </w:pPr>
      <w:r>
        <w:separator/>
      </w:r>
    </w:p>
  </w:footnote>
  <w:footnote w:type="continuationSeparator" w:id="0">
    <w:p w:rsidR="00690A5C" w:rsidRDefault="00690A5C" w:rsidP="00DB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6D" w:rsidRPr="00ED2CA4" w:rsidRDefault="002D756D" w:rsidP="002316E0">
    <w:pPr>
      <w:pStyle w:val="Glava"/>
      <w:ind w:left="-284"/>
    </w:pPr>
    <w:r>
      <w:rPr>
        <w:noProof/>
        <w:lang w:eastAsia="sl-SI"/>
      </w:rPr>
      <w:drawing>
        <wp:inline distT="0" distB="0" distL="0" distR="0" wp14:anchorId="23065C82" wp14:editId="4617A81D">
          <wp:extent cx="1266825" cy="21490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18" cy="24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149945EB" wp14:editId="571BF2A1">
          <wp:extent cx="1037467" cy="4286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591" cy="42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637F569" wp14:editId="0BCE9EB4">
          <wp:extent cx="790575" cy="307066"/>
          <wp:effectExtent l="0" t="0" r="0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3_logoCPI-napis-center-barv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80" cy="327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sl-SI"/>
      </w:rPr>
      <w:drawing>
        <wp:inline distT="0" distB="0" distL="0" distR="0" wp14:anchorId="10AB25E7" wp14:editId="10D9BF7A">
          <wp:extent cx="316547" cy="351719"/>
          <wp:effectExtent l="0" t="0" r="762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Šola za ravnatelj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77" cy="36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0C935369" wp14:editId="0AF39D71">
          <wp:extent cx="790575" cy="560103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KC UL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20" cy="56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3EEBB7AA" wp14:editId="73F1D6C3">
          <wp:extent cx="364242" cy="475335"/>
          <wp:effectExtent l="0" t="0" r="0" b="1270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ZRSS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126" cy="507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1FC8E729" wp14:editId="7958CE28">
          <wp:extent cx="1219200" cy="232307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DDSZ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050" cy="238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6E62">
      <w:rPr>
        <w:noProof/>
        <w:lang w:eastAsia="sl-SI"/>
      </w:rPr>
      <w:drawing>
        <wp:inline distT="0" distB="0" distL="0" distR="0" wp14:anchorId="5EE9D28F" wp14:editId="4B3FA5DE">
          <wp:extent cx="1190625" cy="685800"/>
          <wp:effectExtent l="0" t="0" r="9525" b="0"/>
          <wp:docPr id="20" name="Slika 20" descr="SRIP-logo-final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IP-logo-final (003)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82" t="8148" r="15804" b="26447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/>
      </w:rPr>
      <w:drawing>
        <wp:inline distT="0" distB="0" distL="0" distR="0" wp14:anchorId="63CB2165" wp14:editId="02CD012D">
          <wp:extent cx="771525" cy="415552"/>
          <wp:effectExtent l="0" t="0" r="0" b="3810"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ZRSZ.jp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" cy="42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sl-SI"/>
      </w:rPr>
      <w:drawing>
        <wp:inline distT="0" distB="0" distL="0" distR="0" wp14:anchorId="0DB2DAE4" wp14:editId="21841182">
          <wp:extent cx="994867" cy="154965"/>
          <wp:effectExtent l="0" t="0" r="0" b="0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KOS.jp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038" cy="16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2A066F1" wp14:editId="3E9A06AA">
          <wp:extent cx="1207008" cy="254915"/>
          <wp:effectExtent l="0" t="0" r="0" b="0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GRT_slo.jp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695" cy="26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35FE7CCD" wp14:editId="7F06A487">
          <wp:extent cx="1674028" cy="234086"/>
          <wp:effectExtent l="0" t="0" r="2540" b="0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VRK.jpg"/>
                  <pic:cNvPicPr/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599" cy="244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756D" w:rsidRPr="002316E0" w:rsidRDefault="002D756D" w:rsidP="00DB50FA">
    <w:pPr>
      <w:pStyle w:val="Glava"/>
      <w:rPr>
        <w:i/>
      </w:rPr>
    </w:pPr>
  </w:p>
  <w:p w:rsidR="002D756D" w:rsidRDefault="002D756D">
    <w:pPr>
      <w:pStyle w:val="Glava"/>
    </w:pPr>
  </w:p>
  <w:p w:rsidR="002D756D" w:rsidRDefault="002D756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35B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2CC3651"/>
    <w:multiLevelType w:val="multilevel"/>
    <w:tmpl w:val="FCC00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315AC5"/>
    <w:multiLevelType w:val="hybridMultilevel"/>
    <w:tmpl w:val="01B2639C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A57D7"/>
    <w:multiLevelType w:val="hybridMultilevel"/>
    <w:tmpl w:val="8962E840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14C66"/>
    <w:multiLevelType w:val="hybridMultilevel"/>
    <w:tmpl w:val="4A24C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F7FB5"/>
    <w:multiLevelType w:val="hybridMultilevel"/>
    <w:tmpl w:val="3FFE7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EC"/>
    <w:rsid w:val="000039C0"/>
    <w:rsid w:val="00017816"/>
    <w:rsid w:val="00023E7E"/>
    <w:rsid w:val="00055069"/>
    <w:rsid w:val="00056559"/>
    <w:rsid w:val="000B4CF3"/>
    <w:rsid w:val="000E5219"/>
    <w:rsid w:val="00125461"/>
    <w:rsid w:val="00125849"/>
    <w:rsid w:val="00144403"/>
    <w:rsid w:val="001813C0"/>
    <w:rsid w:val="001869A3"/>
    <w:rsid w:val="00210489"/>
    <w:rsid w:val="002316E0"/>
    <w:rsid w:val="00234098"/>
    <w:rsid w:val="00256E62"/>
    <w:rsid w:val="002A7EB7"/>
    <w:rsid w:val="002B1A1C"/>
    <w:rsid w:val="002D756D"/>
    <w:rsid w:val="00346147"/>
    <w:rsid w:val="00436D88"/>
    <w:rsid w:val="004408AF"/>
    <w:rsid w:val="00451DA2"/>
    <w:rsid w:val="0047798E"/>
    <w:rsid w:val="00530A18"/>
    <w:rsid w:val="00560887"/>
    <w:rsid w:val="00580299"/>
    <w:rsid w:val="00592066"/>
    <w:rsid w:val="005B6ECE"/>
    <w:rsid w:val="005C6034"/>
    <w:rsid w:val="005E4202"/>
    <w:rsid w:val="00600F44"/>
    <w:rsid w:val="00605317"/>
    <w:rsid w:val="006510CD"/>
    <w:rsid w:val="006746C8"/>
    <w:rsid w:val="00690A5C"/>
    <w:rsid w:val="006B108F"/>
    <w:rsid w:val="006C7E66"/>
    <w:rsid w:val="006D2378"/>
    <w:rsid w:val="006D5E15"/>
    <w:rsid w:val="006F45F1"/>
    <w:rsid w:val="00754FA2"/>
    <w:rsid w:val="00796A23"/>
    <w:rsid w:val="007A2A8F"/>
    <w:rsid w:val="007E5CE2"/>
    <w:rsid w:val="007F12B4"/>
    <w:rsid w:val="00813233"/>
    <w:rsid w:val="00826023"/>
    <w:rsid w:val="008633EC"/>
    <w:rsid w:val="008A397E"/>
    <w:rsid w:val="008C5448"/>
    <w:rsid w:val="008D20CE"/>
    <w:rsid w:val="008D315C"/>
    <w:rsid w:val="00916B71"/>
    <w:rsid w:val="00924DC7"/>
    <w:rsid w:val="009326F3"/>
    <w:rsid w:val="0094414F"/>
    <w:rsid w:val="009454FB"/>
    <w:rsid w:val="009C5B0A"/>
    <w:rsid w:val="009D4639"/>
    <w:rsid w:val="00A25F9B"/>
    <w:rsid w:val="00A62AC8"/>
    <w:rsid w:val="00A65C48"/>
    <w:rsid w:val="00A702D1"/>
    <w:rsid w:val="00A944DB"/>
    <w:rsid w:val="00AB2B5C"/>
    <w:rsid w:val="00AE068A"/>
    <w:rsid w:val="00AE74E2"/>
    <w:rsid w:val="00B568AD"/>
    <w:rsid w:val="00BA45AE"/>
    <w:rsid w:val="00BA5BC0"/>
    <w:rsid w:val="00C04D0B"/>
    <w:rsid w:val="00C105FC"/>
    <w:rsid w:val="00C146A9"/>
    <w:rsid w:val="00C2519B"/>
    <w:rsid w:val="00CD384F"/>
    <w:rsid w:val="00CE0A20"/>
    <w:rsid w:val="00D11163"/>
    <w:rsid w:val="00D26088"/>
    <w:rsid w:val="00D503AD"/>
    <w:rsid w:val="00D62BAD"/>
    <w:rsid w:val="00D91449"/>
    <w:rsid w:val="00D931F8"/>
    <w:rsid w:val="00DB50FA"/>
    <w:rsid w:val="00DB543A"/>
    <w:rsid w:val="00DF44F2"/>
    <w:rsid w:val="00E36B0B"/>
    <w:rsid w:val="00E53D2B"/>
    <w:rsid w:val="00E659E3"/>
    <w:rsid w:val="00E751C0"/>
    <w:rsid w:val="00E85C2A"/>
    <w:rsid w:val="00E979C8"/>
    <w:rsid w:val="00EE673E"/>
    <w:rsid w:val="00EF3E37"/>
    <w:rsid w:val="00F4305A"/>
    <w:rsid w:val="00F74985"/>
    <w:rsid w:val="00FA0E09"/>
    <w:rsid w:val="00FB6178"/>
    <w:rsid w:val="00FD616D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749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79C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E1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50FA"/>
  </w:style>
  <w:style w:type="paragraph" w:styleId="Noga">
    <w:name w:val="footer"/>
    <w:basedOn w:val="Navaden"/>
    <w:link w:val="Nog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50FA"/>
  </w:style>
  <w:style w:type="table" w:styleId="Tabelamrea">
    <w:name w:val="Table Grid"/>
    <w:basedOn w:val="Navadnatabela"/>
    <w:uiPriority w:val="39"/>
    <w:rsid w:val="00D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D20CE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924D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4D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4D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4D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4D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749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79C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E1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50FA"/>
  </w:style>
  <w:style w:type="paragraph" w:styleId="Noga">
    <w:name w:val="footer"/>
    <w:basedOn w:val="Navaden"/>
    <w:link w:val="Nog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50FA"/>
  </w:style>
  <w:style w:type="table" w:styleId="Tabelamrea">
    <w:name w:val="Table Grid"/>
    <w:basedOn w:val="Navadnatabela"/>
    <w:uiPriority w:val="39"/>
    <w:rsid w:val="00D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D20CE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924D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4D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4D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4D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4D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jpg"/><Relationship Id="rId5" Type="http://schemas.openxmlformats.org/officeDocument/2006/relationships/image" Target="media/image5.gif"/><Relationship Id="rId10" Type="http://schemas.openxmlformats.org/officeDocument/2006/relationships/image" Target="media/image10.jp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Bucar\AppData\Local\Microsoft\Windows\Temporary%20Internet%20Files\Content.Outlook\Q4IKL5NZ\Zapisnik%20skupine%20VKO%202017-01-17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24FC-8C84-4A0C-BECC-A694D61D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skupine VKO 2017-01-17.dotm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Staša Bučar-Markič</dc:creator>
  <cp:lastModifiedBy>Staša Bučar-Markič</cp:lastModifiedBy>
  <cp:revision>2</cp:revision>
  <dcterms:created xsi:type="dcterms:W3CDTF">2018-09-20T10:48:00Z</dcterms:created>
  <dcterms:modified xsi:type="dcterms:W3CDTF">2018-09-20T10:48:00Z</dcterms:modified>
</cp:coreProperties>
</file>