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10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91" w:rsidRPr="005D7691" w:rsidRDefault="005D7691" w:rsidP="005D7691">
      <w:pPr>
        <w:rPr>
          <w:sz w:val="24"/>
          <w:szCs w:val="24"/>
        </w:rPr>
      </w:pPr>
      <w:bookmarkStart w:id="0" w:name="_GoBack"/>
      <w:bookmarkEnd w:id="0"/>
      <w:r w:rsidRPr="005D7691">
        <w:rPr>
          <w:sz w:val="24"/>
          <w:szCs w:val="24"/>
        </w:rPr>
        <w:t xml:space="preserve">Datum: </w:t>
      </w:r>
      <w:r w:rsidR="00F12F6B">
        <w:rPr>
          <w:sz w:val="24"/>
          <w:szCs w:val="24"/>
        </w:rPr>
        <w:t>20.4</w:t>
      </w:r>
      <w:r w:rsidRPr="005D7691">
        <w:rPr>
          <w:sz w:val="24"/>
          <w:szCs w:val="24"/>
        </w:rPr>
        <w:t>.2018</w:t>
      </w:r>
    </w:p>
    <w:p w:rsidR="005D7691" w:rsidRDefault="005D7691" w:rsidP="005D7691">
      <w:pPr>
        <w:rPr>
          <w:b/>
          <w:sz w:val="24"/>
          <w:szCs w:val="24"/>
        </w:rPr>
      </w:pPr>
    </w:p>
    <w:p w:rsidR="005D7691" w:rsidRPr="005D7691" w:rsidRDefault="005D7691" w:rsidP="005D7691">
      <w:pPr>
        <w:rPr>
          <w:b/>
        </w:rPr>
      </w:pPr>
      <w:r>
        <w:rPr>
          <w:b/>
          <w:sz w:val="24"/>
          <w:szCs w:val="24"/>
        </w:rPr>
        <w:t>Zadeva:</w:t>
      </w:r>
      <w:r w:rsidR="00125461" w:rsidRPr="001869A3">
        <w:rPr>
          <w:b/>
          <w:sz w:val="24"/>
          <w:szCs w:val="24"/>
        </w:rPr>
        <w:t xml:space="preserve"> </w:t>
      </w:r>
      <w:r w:rsidRPr="005D7691">
        <w:rPr>
          <w:b/>
        </w:rPr>
        <w:t>Zap</w:t>
      </w:r>
      <w:r w:rsidR="004C66D2">
        <w:rPr>
          <w:b/>
        </w:rPr>
        <w:t xml:space="preserve">isnik sestanka VKO skupine dne </w:t>
      </w:r>
      <w:r w:rsidR="008201C7">
        <w:rPr>
          <w:b/>
        </w:rPr>
        <w:t>20</w:t>
      </w:r>
      <w:r w:rsidR="004C66D2">
        <w:rPr>
          <w:b/>
        </w:rPr>
        <w:t>.</w:t>
      </w:r>
      <w:r w:rsidR="008201C7">
        <w:rPr>
          <w:b/>
        </w:rPr>
        <w:t>4</w:t>
      </w:r>
      <w:r w:rsidRPr="005D7691">
        <w:rPr>
          <w:b/>
        </w:rPr>
        <w:t>.2018</w:t>
      </w:r>
    </w:p>
    <w:p w:rsidR="005D7691" w:rsidRDefault="005D7691" w:rsidP="005D7691"/>
    <w:p w:rsidR="005D7691" w:rsidRDefault="005D7691" w:rsidP="005D7691">
      <w:r w:rsidRPr="00481EEF">
        <w:t>Prisotni:</w:t>
      </w:r>
      <w:r w:rsidR="00481EEF" w:rsidRPr="00481EEF">
        <w:t xml:space="preserve"> </w:t>
      </w:r>
      <w:r w:rsidR="00094ADD">
        <w:t xml:space="preserve">Tatjana Ažman, ŠR, Staša Bučar Markič, ZRSŠ, Tanja </w:t>
      </w:r>
      <w:proofErr w:type="spellStart"/>
      <w:r w:rsidR="00094ADD">
        <w:t>Vilič</w:t>
      </w:r>
      <w:proofErr w:type="spellEnd"/>
      <w:r w:rsidR="00094ADD">
        <w:t xml:space="preserve"> Klenovšek, ACS, Miha Lovšin, CPI</w:t>
      </w:r>
    </w:p>
    <w:p w:rsidR="00481EEF" w:rsidRDefault="00481EEF" w:rsidP="005D7691">
      <w:r>
        <w:t>Prisotnost opravičili</w:t>
      </w:r>
      <w:r w:rsidRPr="00481EEF">
        <w:t xml:space="preserve">: </w:t>
      </w:r>
      <w:r w:rsidR="00094ADD">
        <w:t xml:space="preserve">Lea Martič, MDDSZ, Darja </w:t>
      </w:r>
      <w:proofErr w:type="spellStart"/>
      <w:r w:rsidR="00094ADD">
        <w:t>Čot</w:t>
      </w:r>
      <w:proofErr w:type="spellEnd"/>
      <w:r w:rsidR="00094ADD">
        <w:t xml:space="preserve">, Mojca </w:t>
      </w:r>
      <w:proofErr w:type="spellStart"/>
      <w:r w:rsidR="00094ADD">
        <w:t>Štepic</w:t>
      </w:r>
      <w:proofErr w:type="spellEnd"/>
      <w:r w:rsidR="00094ADD">
        <w:t xml:space="preserve"> MGRT, Mateja Gornik Mervar MIZŠ, Katja </w:t>
      </w:r>
      <w:proofErr w:type="spellStart"/>
      <w:r w:rsidR="00094ADD">
        <w:t>Dovžak</w:t>
      </w:r>
      <w:proofErr w:type="spellEnd"/>
      <w:r w:rsidR="00094ADD">
        <w:t>, MIZŠ,</w:t>
      </w:r>
      <w:r w:rsidR="00206365">
        <w:t xml:space="preserve"> Zlata Šlibar, ZRSŠ,</w:t>
      </w:r>
      <w:r w:rsidR="00094ADD">
        <w:t xml:space="preserve"> Brigita Rupar, ZRSŠ,</w:t>
      </w:r>
      <w:r w:rsidR="00206365">
        <w:t xml:space="preserve"> Maja Dizdarević, KC </w:t>
      </w:r>
      <w:proofErr w:type="spellStart"/>
      <w:r w:rsidR="00206365">
        <w:t>Uni-lj</w:t>
      </w:r>
      <w:proofErr w:type="spellEnd"/>
      <w:r w:rsidR="00206365">
        <w:t>.</w:t>
      </w:r>
      <w:r w:rsidR="00094ADD">
        <w:t xml:space="preserve">   </w:t>
      </w:r>
    </w:p>
    <w:p w:rsidR="00094ADD" w:rsidRDefault="00094ADD" w:rsidP="00094ADD">
      <w:r>
        <w:t xml:space="preserve">Prisotnosti niso opravičili: </w:t>
      </w:r>
      <w:r w:rsidR="00206365">
        <w:t>Maja Krušič Šega, MIZŠ, Saša Niklanovič, DKOS, Barbara Leder, JŠRIPSRS</w:t>
      </w:r>
    </w:p>
    <w:p w:rsidR="00481EEF" w:rsidRDefault="00481EEF" w:rsidP="005D7691"/>
    <w:p w:rsidR="005D7691" w:rsidRDefault="005D7691" w:rsidP="005D7691">
      <w:r>
        <w:t>Dnevni red:</w:t>
      </w:r>
    </w:p>
    <w:p w:rsidR="005D7691" w:rsidRDefault="004C66D2" w:rsidP="005D76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Potrditev zapisnika</w:t>
      </w:r>
    </w:p>
    <w:p w:rsidR="00F06E51" w:rsidRDefault="00F06E51" w:rsidP="00F06E5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Skupni projekti na področju VKO</w:t>
      </w:r>
    </w:p>
    <w:p w:rsidR="005D7691" w:rsidRDefault="00F06E51" w:rsidP="005D76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Potrditev delovnega</w:t>
      </w:r>
      <w:r w:rsidR="00B96C9E">
        <w:rPr>
          <w:rFonts w:cs="Times New Roman"/>
        </w:rPr>
        <w:t xml:space="preserve"> načrt</w:t>
      </w:r>
      <w:r>
        <w:rPr>
          <w:rFonts w:cs="Times New Roman"/>
        </w:rPr>
        <w:t>a</w:t>
      </w:r>
      <w:r w:rsidR="00B96C9E">
        <w:rPr>
          <w:rFonts w:cs="Times New Roman"/>
        </w:rPr>
        <w:t xml:space="preserve"> 2018</w:t>
      </w:r>
    </w:p>
    <w:p w:rsidR="005D7691" w:rsidRDefault="00B96C9E" w:rsidP="005D769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Razno</w:t>
      </w:r>
    </w:p>
    <w:p w:rsidR="00F12F6B" w:rsidRDefault="00F12F6B" w:rsidP="00F12F6B">
      <w:pPr>
        <w:spacing w:after="0" w:line="240" w:lineRule="auto"/>
        <w:jc w:val="both"/>
        <w:rPr>
          <w:rFonts w:cs="Times New Roman"/>
        </w:rPr>
      </w:pPr>
    </w:p>
    <w:p w:rsidR="00F12F6B" w:rsidRDefault="00F12F6B" w:rsidP="00F12F6B">
      <w:pPr>
        <w:spacing w:after="0" w:line="240" w:lineRule="auto"/>
        <w:jc w:val="both"/>
        <w:rPr>
          <w:rFonts w:cs="Times New Roman"/>
        </w:rPr>
      </w:pPr>
    </w:p>
    <w:p w:rsidR="00094ADD" w:rsidRDefault="0097664F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AD1</w:t>
      </w:r>
    </w:p>
    <w:p w:rsidR="0097664F" w:rsidRDefault="0097664F" w:rsidP="00F12F6B">
      <w:pPr>
        <w:spacing w:after="0" w:line="240" w:lineRule="auto"/>
        <w:jc w:val="both"/>
        <w:rPr>
          <w:rFonts w:cs="Times New Roman"/>
        </w:rPr>
      </w:pPr>
    </w:p>
    <w:p w:rsidR="00A224C3" w:rsidRDefault="0097664F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Prisotni potrdimo zapisnik. V zvezi s sklepom 1 Miha Lovšin poroča, da je kontaktiral Stanko Lunder</w:t>
      </w:r>
      <w:r w:rsidR="00A224C3">
        <w:rPr>
          <w:rFonts w:cs="Times New Roman"/>
        </w:rPr>
        <w:t xml:space="preserve"> Verlič</w:t>
      </w:r>
      <w:r>
        <w:rPr>
          <w:rFonts w:cs="Times New Roman"/>
        </w:rPr>
        <w:t xml:space="preserve">, ki je zagotovila sodelovanje Maje Krušič Šega v bodoče. </w:t>
      </w:r>
    </w:p>
    <w:p w:rsidR="00A224C3" w:rsidRDefault="00A224C3" w:rsidP="00F12F6B">
      <w:pPr>
        <w:spacing w:after="0" w:line="240" w:lineRule="auto"/>
        <w:jc w:val="both"/>
        <w:rPr>
          <w:rFonts w:cs="Times New Roman"/>
        </w:rPr>
      </w:pPr>
    </w:p>
    <w:p w:rsidR="0097664F" w:rsidRDefault="00A224C3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Sklep 1: </w:t>
      </w:r>
      <w:r w:rsidR="0097664F">
        <w:rPr>
          <w:rFonts w:cs="Times New Roman"/>
        </w:rPr>
        <w:t xml:space="preserve">Glede na dejstvo, da sodelovanje ni </w:t>
      </w:r>
      <w:r>
        <w:rPr>
          <w:rFonts w:cs="Times New Roman"/>
        </w:rPr>
        <w:t xml:space="preserve">bilo </w:t>
      </w:r>
      <w:r w:rsidR="0097664F">
        <w:rPr>
          <w:rFonts w:cs="Times New Roman"/>
        </w:rPr>
        <w:t>realizirano</w:t>
      </w:r>
      <w:r>
        <w:rPr>
          <w:rFonts w:cs="Times New Roman"/>
        </w:rPr>
        <w:t>,</w:t>
      </w:r>
      <w:r w:rsidR="0097664F">
        <w:rPr>
          <w:rFonts w:cs="Times New Roman"/>
        </w:rPr>
        <w:t xml:space="preserve"> Miha Lovšin ponovno kontaktira Stanko Lunder. </w:t>
      </w:r>
    </w:p>
    <w:p w:rsidR="00094ADD" w:rsidRDefault="00094ADD" w:rsidP="00F12F6B">
      <w:pPr>
        <w:spacing w:after="0" w:line="240" w:lineRule="auto"/>
        <w:jc w:val="both"/>
        <w:rPr>
          <w:rFonts w:cs="Times New Roman"/>
        </w:rPr>
      </w:pPr>
    </w:p>
    <w:p w:rsidR="00094ADD" w:rsidRDefault="00A224C3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 zvezi s  6. sklepom se prisotni strinjamo, da se delovna skupina v sestavi Saša Niklanovič, Staša Bučar Markič, Tatjana Ažman in Gorazd Jenko sest</w:t>
      </w:r>
    </w:p>
    <w:p w:rsidR="00A224C3" w:rsidRDefault="00A224C3" w:rsidP="00F12F6B">
      <w:pPr>
        <w:spacing w:after="0" w:line="240" w:lineRule="auto"/>
        <w:jc w:val="both"/>
        <w:rPr>
          <w:rFonts w:cs="Times New Roman"/>
        </w:rPr>
      </w:pPr>
    </w:p>
    <w:p w:rsidR="00A224C3" w:rsidRDefault="00A224C3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V zvezi z 11. sklepom</w:t>
      </w:r>
      <w:r w:rsidR="00EE3DF9">
        <w:rPr>
          <w:rFonts w:cs="Times New Roman"/>
        </w:rPr>
        <w:t xml:space="preserve"> je Barbara Leder posredovala naslednje povezave:</w:t>
      </w:r>
    </w:p>
    <w:p w:rsidR="00EE3DF9" w:rsidRDefault="000741B8" w:rsidP="00F12F6B">
      <w:pPr>
        <w:spacing w:after="0" w:line="240" w:lineRule="auto"/>
        <w:jc w:val="both"/>
        <w:rPr>
          <w:rFonts w:cs="Times New Roman"/>
        </w:rPr>
      </w:pPr>
      <w:hyperlink r:id="rId8" w:history="1">
        <w:r w:rsidR="00EE3DF9" w:rsidRPr="00016F17">
          <w:rPr>
            <w:rStyle w:val="Hiperpovezava"/>
            <w:rFonts w:cs="Times New Roman"/>
          </w:rPr>
          <w:t>http://www.sklad-kadri.si/si/razpisi-in-objave/novica/n/pridruzite-se-nam-na-delavnici-vodstveni-activity-igra-za-odgovorne-in-strastne-ljudi/</w:t>
        </w:r>
      </w:hyperlink>
    </w:p>
    <w:p w:rsidR="00EE3DF9" w:rsidRDefault="000741B8" w:rsidP="00F12F6B">
      <w:pPr>
        <w:spacing w:after="0" w:line="240" w:lineRule="auto"/>
        <w:jc w:val="both"/>
        <w:rPr>
          <w:rFonts w:cs="Times New Roman"/>
        </w:rPr>
      </w:pPr>
      <w:hyperlink r:id="rId9" w:history="1">
        <w:r w:rsidR="00EE3DF9" w:rsidRPr="00016F17">
          <w:rPr>
            <w:rStyle w:val="Hiperpovezava"/>
            <w:rFonts w:cs="Times New Roman"/>
          </w:rPr>
          <w:t>http://www.sklad-kadri.si/si/razvoj-kadrov/kompetencni-centri-za-razvoj-kadrov-koc/kompetentna-slovenija-2017-2018/</w:t>
        </w:r>
      </w:hyperlink>
    </w:p>
    <w:p w:rsidR="00A224C3" w:rsidRDefault="00A224C3" w:rsidP="00F12F6B">
      <w:pPr>
        <w:spacing w:after="0" w:line="240" w:lineRule="auto"/>
        <w:jc w:val="both"/>
        <w:rPr>
          <w:rFonts w:cs="Times New Roman"/>
        </w:rPr>
      </w:pPr>
    </w:p>
    <w:p w:rsidR="00EE3DF9" w:rsidRDefault="00EE3DF9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AD2</w:t>
      </w:r>
    </w:p>
    <w:p w:rsidR="00EE3DF9" w:rsidRDefault="00EE3DF9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Točka je zaradi premajhne udeležbe prestavljena na naslednji sestanek.</w:t>
      </w:r>
    </w:p>
    <w:p w:rsidR="00EE3DF9" w:rsidRDefault="00EE3DF9" w:rsidP="00F12F6B">
      <w:pPr>
        <w:spacing w:after="0" w:line="240" w:lineRule="auto"/>
        <w:jc w:val="both"/>
        <w:rPr>
          <w:rFonts w:cs="Times New Roman"/>
        </w:rPr>
      </w:pPr>
    </w:p>
    <w:p w:rsidR="00EE3DF9" w:rsidRDefault="00EE3DF9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AD3</w:t>
      </w:r>
    </w:p>
    <w:p w:rsidR="00EE3DF9" w:rsidRDefault="00EE3DF9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Prisotni potrdimo delovni načrt, usklajen sicer že v mesecu marcu.</w:t>
      </w:r>
    </w:p>
    <w:p w:rsidR="00EE3DF9" w:rsidRDefault="00EE3DF9" w:rsidP="00F12F6B">
      <w:pPr>
        <w:spacing w:after="0" w:line="240" w:lineRule="auto"/>
        <w:jc w:val="both"/>
        <w:rPr>
          <w:rFonts w:cs="Times New Roman"/>
        </w:rPr>
      </w:pPr>
    </w:p>
    <w:p w:rsidR="00F12F6B" w:rsidRDefault="00F12F6B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AD4</w:t>
      </w:r>
    </w:p>
    <w:p w:rsidR="00EC05A2" w:rsidRDefault="00EC05A2" w:rsidP="00F12F6B">
      <w:pPr>
        <w:spacing w:after="0" w:line="240" w:lineRule="auto"/>
        <w:jc w:val="both"/>
        <w:rPr>
          <w:rFonts w:cs="Times New Roman"/>
        </w:rPr>
      </w:pPr>
    </w:p>
    <w:p w:rsidR="00F12F6B" w:rsidRDefault="00F12F6B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Staša </w:t>
      </w:r>
      <w:r w:rsidR="00EE3DF9">
        <w:rPr>
          <w:rFonts w:cs="Times New Roman"/>
        </w:rPr>
        <w:t xml:space="preserve">Bučar Markič </w:t>
      </w:r>
      <w:r>
        <w:rPr>
          <w:rFonts w:cs="Times New Roman"/>
        </w:rPr>
        <w:t>poroča, da se pripravlja spletna stran namenjena oblikovalcem politik in strokovnjakom VKO. Vzpostavljena bo do konca leta 2018. Prisotni se strinjam, da se na spletno stran umesti strokovna skupina za VKO</w:t>
      </w:r>
      <w:r w:rsidR="00F02E6C">
        <w:rPr>
          <w:rFonts w:cs="Times New Roman"/>
        </w:rPr>
        <w:t xml:space="preserve"> (SS VKO)</w:t>
      </w:r>
      <w:r>
        <w:rPr>
          <w:rFonts w:cs="Times New Roman"/>
        </w:rPr>
        <w:t>. Vsebino bomo uskladili znotraj procesa načrtovanja te spletne strani.</w:t>
      </w:r>
    </w:p>
    <w:p w:rsidR="00F12F6B" w:rsidRDefault="00F12F6B" w:rsidP="00F12F6B">
      <w:pPr>
        <w:spacing w:after="0" w:line="240" w:lineRule="auto"/>
        <w:jc w:val="both"/>
        <w:rPr>
          <w:rFonts w:cs="Times New Roman"/>
        </w:rPr>
      </w:pPr>
    </w:p>
    <w:p w:rsidR="00F12F6B" w:rsidRDefault="00F12F6B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Sklep: </w:t>
      </w:r>
      <w:r w:rsidR="00F02E6C">
        <w:rPr>
          <w:rFonts w:cs="Times New Roman"/>
        </w:rPr>
        <w:t>Staša pripravi predlog do 20.5.2018, člani SS VKO ga nato dopolnijo.</w:t>
      </w:r>
    </w:p>
    <w:p w:rsidR="005774F5" w:rsidRDefault="005774F5" w:rsidP="00F12F6B">
      <w:pPr>
        <w:spacing w:after="0" w:line="240" w:lineRule="auto"/>
        <w:jc w:val="both"/>
        <w:rPr>
          <w:rFonts w:cs="Times New Roman"/>
        </w:rPr>
      </w:pPr>
    </w:p>
    <w:p w:rsidR="005774F5" w:rsidRDefault="005774F5" w:rsidP="00F12F6B">
      <w:pPr>
        <w:spacing w:after="0" w:line="240" w:lineRule="auto"/>
        <w:jc w:val="both"/>
        <w:rPr>
          <w:rFonts w:cs="Times New Roman"/>
        </w:rPr>
      </w:pPr>
    </w:p>
    <w:p w:rsidR="005774F5" w:rsidRDefault="00937C25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Miha </w:t>
      </w:r>
      <w:r w:rsidR="00EE3DF9">
        <w:rPr>
          <w:rFonts w:cs="Times New Roman"/>
        </w:rPr>
        <w:t xml:space="preserve">Lovšin </w:t>
      </w:r>
      <w:r>
        <w:rPr>
          <w:rFonts w:cs="Times New Roman"/>
        </w:rPr>
        <w:t xml:space="preserve">poroča, da ga je kontaktiral Raimo Vuorinen, namestnik predsednika IAEVG v zvezi s članstvom Slovenije v tej organizaciji. </w:t>
      </w:r>
      <w:r w:rsidR="005774F5">
        <w:rPr>
          <w:rFonts w:cs="Times New Roman"/>
        </w:rPr>
        <w:t>DKOS zastopa Slovenijo v tej mednarodni organizaciji. Ugotavljamo, da med ostalimi društvi, ki so s področjem karierne orientacija povezane posredno (ADS, Društvo pedagogov, Društvo psihologov, Društvo šolskih svetovalnih delavcev…) informacije o aktivnostih IAEVG niso ustrezno komunicirane.</w:t>
      </w:r>
      <w:r>
        <w:rPr>
          <w:rFonts w:cs="Times New Roman"/>
        </w:rPr>
        <w:t xml:space="preserve"> Prisotni predlagamo, da proučimo možnost, kako tudi te organizacije vključiti v IAEVG preko DKOS.</w:t>
      </w:r>
    </w:p>
    <w:p w:rsidR="005774F5" w:rsidRDefault="005774F5" w:rsidP="00F12F6B">
      <w:pPr>
        <w:spacing w:after="0" w:line="240" w:lineRule="auto"/>
        <w:jc w:val="both"/>
        <w:rPr>
          <w:rFonts w:cs="Times New Roman"/>
        </w:rPr>
      </w:pPr>
    </w:p>
    <w:p w:rsidR="00937C25" w:rsidRPr="00F12F6B" w:rsidRDefault="00EE3DF9" w:rsidP="00F12F6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Sklep: Saša Ni</w:t>
      </w:r>
      <w:r w:rsidR="005774F5">
        <w:rPr>
          <w:rFonts w:cs="Times New Roman"/>
        </w:rPr>
        <w:t xml:space="preserve">klanovič na naslednji seji predstavi možnost sodelovanja v IAEVG in možnost </w:t>
      </w:r>
      <w:proofErr w:type="spellStart"/>
      <w:r w:rsidR="005774F5">
        <w:rPr>
          <w:rFonts w:cs="Times New Roman"/>
        </w:rPr>
        <w:t>diseminacije</w:t>
      </w:r>
      <w:proofErr w:type="spellEnd"/>
      <w:r w:rsidR="005774F5">
        <w:rPr>
          <w:rFonts w:cs="Times New Roman"/>
        </w:rPr>
        <w:t xml:space="preserve"> gradiv IAEVG.</w:t>
      </w:r>
    </w:p>
    <w:p w:rsidR="00F06E51" w:rsidRDefault="00F06E51" w:rsidP="00F06E51">
      <w:pPr>
        <w:spacing w:after="0" w:line="240" w:lineRule="auto"/>
        <w:jc w:val="both"/>
        <w:rPr>
          <w:rFonts w:cs="Times New Roman"/>
        </w:rPr>
      </w:pPr>
    </w:p>
    <w:p w:rsidR="00F06E51" w:rsidRDefault="00937C25" w:rsidP="00F06E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V zvezi z obveščanjem deležnikov o delu SS VKO Staša izpostavi dejstvo, da je SS VKO skladno s </w:t>
      </w:r>
      <w:r w:rsidR="00A224C3">
        <w:rPr>
          <w:rFonts w:cs="Times New Roman"/>
        </w:rPr>
        <w:t>sklepom</w:t>
      </w:r>
      <w:r>
        <w:rPr>
          <w:rFonts w:cs="Times New Roman"/>
        </w:rPr>
        <w:t xml:space="preserve"> o imenovanju dolžna poročati tudi vsem strokovnim svetom. </w:t>
      </w:r>
    </w:p>
    <w:p w:rsidR="00937C25" w:rsidRDefault="00937C25" w:rsidP="00F06E51">
      <w:pPr>
        <w:spacing w:after="0" w:line="240" w:lineRule="auto"/>
        <w:jc w:val="both"/>
        <w:rPr>
          <w:rFonts w:cs="Times New Roman"/>
        </w:rPr>
      </w:pPr>
    </w:p>
    <w:p w:rsidR="00937C25" w:rsidRDefault="00937C25" w:rsidP="00F06E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Sklep: letno poročilo za leto 2017 in načrt dela za 2018 s poudarkom na aktualnih temah pošljemo do 15.5.2018. Za spremni dopis je zadolžena Tanja </w:t>
      </w:r>
      <w:proofErr w:type="spellStart"/>
      <w:r>
        <w:rPr>
          <w:rFonts w:cs="Times New Roman"/>
        </w:rPr>
        <w:t>Vilič</w:t>
      </w:r>
      <w:proofErr w:type="spellEnd"/>
      <w:r>
        <w:rPr>
          <w:rFonts w:cs="Times New Roman"/>
        </w:rPr>
        <w:t xml:space="preserve"> Klenovšek.</w:t>
      </w:r>
    </w:p>
    <w:p w:rsidR="00E558BF" w:rsidRDefault="00E558BF" w:rsidP="00F06E51">
      <w:pPr>
        <w:spacing w:after="0" w:line="240" w:lineRule="auto"/>
        <w:jc w:val="both"/>
        <w:rPr>
          <w:rFonts w:cs="Times New Roman"/>
        </w:rPr>
      </w:pPr>
    </w:p>
    <w:p w:rsidR="00E558BF" w:rsidRDefault="00E558BF" w:rsidP="00F06E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Odpremo tudi vprašanje realizacije </w:t>
      </w:r>
      <w:r w:rsidR="00A224C3">
        <w:rPr>
          <w:rFonts w:cs="Times New Roman"/>
        </w:rPr>
        <w:t>predloga</w:t>
      </w:r>
      <w:r>
        <w:rPr>
          <w:rFonts w:cs="Times New Roman"/>
        </w:rPr>
        <w:t xml:space="preserve"> o posodobitvi članstva v sklepu o imenovanju SS VKO.</w:t>
      </w:r>
    </w:p>
    <w:p w:rsidR="00E558BF" w:rsidRDefault="00E558BF" w:rsidP="00F06E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Sklep: Miha kontaktira Stanko Verlič Lunder, da spelje postopek</w:t>
      </w:r>
    </w:p>
    <w:p w:rsidR="00F06E51" w:rsidRDefault="00F06E51" w:rsidP="00F06E51">
      <w:pPr>
        <w:spacing w:after="0" w:line="240" w:lineRule="auto"/>
        <w:jc w:val="both"/>
        <w:rPr>
          <w:rFonts w:cs="Times New Roman"/>
        </w:rPr>
      </w:pPr>
    </w:p>
    <w:p w:rsidR="00EE3DF9" w:rsidRDefault="00EE3DF9" w:rsidP="00F06E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Tanja </w:t>
      </w:r>
      <w:proofErr w:type="spellStart"/>
      <w:r>
        <w:rPr>
          <w:rFonts w:cs="Times New Roman"/>
        </w:rPr>
        <w:t>Vilič</w:t>
      </w:r>
      <w:proofErr w:type="spellEnd"/>
      <w:r>
        <w:rPr>
          <w:rFonts w:cs="Times New Roman"/>
        </w:rPr>
        <w:t xml:space="preserve"> Klenovšek izpostavi vzpostavitev spletne strani</w:t>
      </w:r>
    </w:p>
    <w:p w:rsidR="00EE3DF9" w:rsidRDefault="000741B8" w:rsidP="00F06E51">
      <w:pPr>
        <w:spacing w:after="0" w:line="240" w:lineRule="auto"/>
        <w:jc w:val="both"/>
        <w:rPr>
          <w:rFonts w:cs="Times New Roman"/>
        </w:rPr>
      </w:pPr>
      <w:hyperlink r:id="rId10" w:history="1">
        <w:r w:rsidR="00EE3DF9" w:rsidRPr="00016F17">
          <w:rPr>
            <w:rStyle w:val="Hiperpovezava"/>
            <w:rFonts w:cs="Times New Roman"/>
          </w:rPr>
          <w:t>http://www.cedefop.europa.eu/en/toolkits/resources-guidance/</w:t>
        </w:r>
      </w:hyperlink>
      <w:r w:rsidR="00EE3DF9">
        <w:rPr>
          <w:rFonts w:cs="Times New Roman"/>
        </w:rPr>
        <w:t xml:space="preserve">. </w:t>
      </w:r>
    </w:p>
    <w:p w:rsidR="00EE3DF9" w:rsidRDefault="00EE3DF9" w:rsidP="00F06E51">
      <w:pPr>
        <w:spacing w:after="0" w:line="240" w:lineRule="auto"/>
        <w:jc w:val="both"/>
        <w:rPr>
          <w:rFonts w:cs="Times New Roman"/>
        </w:rPr>
      </w:pPr>
    </w:p>
    <w:p w:rsidR="00EE3DF9" w:rsidRDefault="00EE3DF9" w:rsidP="00F06E51">
      <w:pPr>
        <w:spacing w:after="0" w:line="240" w:lineRule="auto"/>
        <w:jc w:val="both"/>
        <w:rPr>
          <w:rFonts w:cs="Times New Roman"/>
        </w:rPr>
      </w:pPr>
    </w:p>
    <w:p w:rsidR="00EE3DF9" w:rsidRDefault="00EE3DF9" w:rsidP="00F06E51">
      <w:pPr>
        <w:spacing w:after="0" w:line="240" w:lineRule="auto"/>
        <w:jc w:val="both"/>
        <w:rPr>
          <w:rFonts w:cs="Times New Roman"/>
        </w:rPr>
      </w:pPr>
    </w:p>
    <w:p w:rsidR="00EE3DF9" w:rsidRDefault="00EE3DF9" w:rsidP="00F06E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Naslednji sestanek bo 12.6. ali 15.6. odvisno od izkazanega interesa.</w:t>
      </w:r>
    </w:p>
    <w:p w:rsidR="00EE3DF9" w:rsidRDefault="00EE3DF9" w:rsidP="00F06E51">
      <w:pPr>
        <w:spacing w:after="0" w:line="240" w:lineRule="auto"/>
        <w:jc w:val="both"/>
        <w:rPr>
          <w:rFonts w:cs="Times New Roman"/>
        </w:rPr>
      </w:pPr>
    </w:p>
    <w:p w:rsidR="00EE3DF9" w:rsidRDefault="00EE3DF9" w:rsidP="00F06E51">
      <w:pPr>
        <w:spacing w:after="0" w:line="240" w:lineRule="auto"/>
        <w:jc w:val="both"/>
        <w:rPr>
          <w:rFonts w:cs="Times New Roman"/>
        </w:rPr>
      </w:pPr>
    </w:p>
    <w:p w:rsidR="00EE3DF9" w:rsidRDefault="00EE3DF9" w:rsidP="00F06E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Zapisal:</w:t>
      </w:r>
    </w:p>
    <w:p w:rsidR="00EE3DF9" w:rsidRDefault="00EE3DF9" w:rsidP="00F06E51">
      <w:pPr>
        <w:spacing w:after="0" w:line="240" w:lineRule="auto"/>
        <w:jc w:val="both"/>
        <w:rPr>
          <w:rFonts w:cs="Times New Roman"/>
        </w:rPr>
      </w:pPr>
    </w:p>
    <w:p w:rsidR="00EE3DF9" w:rsidRPr="00F06E51" w:rsidRDefault="00EE3DF9" w:rsidP="00F06E51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Dr. Miha Lovšin</w:t>
      </w:r>
    </w:p>
    <w:sectPr w:rsidR="00EE3DF9" w:rsidRPr="00F06E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B8" w:rsidRDefault="000741B8" w:rsidP="00DB50FA">
      <w:pPr>
        <w:spacing w:after="0" w:line="240" w:lineRule="auto"/>
      </w:pPr>
      <w:r>
        <w:separator/>
      </w:r>
    </w:p>
  </w:endnote>
  <w:endnote w:type="continuationSeparator" w:id="0">
    <w:p w:rsidR="000741B8" w:rsidRDefault="000741B8" w:rsidP="00DB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B8" w:rsidRDefault="000741B8" w:rsidP="00DB50FA">
      <w:pPr>
        <w:spacing w:after="0" w:line="240" w:lineRule="auto"/>
      </w:pPr>
      <w:r>
        <w:separator/>
      </w:r>
    </w:p>
  </w:footnote>
  <w:footnote w:type="continuationSeparator" w:id="0">
    <w:p w:rsidR="000741B8" w:rsidRDefault="000741B8" w:rsidP="00DB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FA" w:rsidRPr="00ED2CA4" w:rsidRDefault="00DB50FA" w:rsidP="00DB50FA">
    <w:pPr>
      <w:pStyle w:val="Glava"/>
      <w:ind w:left="-567"/>
    </w:pPr>
    <w:r>
      <w:rPr>
        <w:noProof/>
        <w:lang w:eastAsia="sl-SI"/>
      </w:rPr>
      <w:drawing>
        <wp:inline distT="0" distB="0" distL="0" distR="0" wp14:anchorId="5D1F0E19" wp14:editId="0B6CCD6C">
          <wp:extent cx="1266825" cy="214908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Z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18" cy="24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81150C5" wp14:editId="7B5479AB">
          <wp:extent cx="1037467" cy="42862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91" cy="42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2CC88BC" wp14:editId="2BA678A1">
          <wp:extent cx="790575" cy="307066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3_logoCPI-napis-center-barv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80" cy="327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l-SI"/>
      </w:rPr>
      <w:drawing>
        <wp:inline distT="0" distB="0" distL="0" distR="0" wp14:anchorId="2C6E745C" wp14:editId="2472A5EB">
          <wp:extent cx="316547" cy="351719"/>
          <wp:effectExtent l="0" t="0" r="762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Šola za ravnatelj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77" cy="36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D54008F" wp14:editId="7AA66622">
          <wp:extent cx="790575" cy="560103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KC UL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20" cy="56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CA90DAD" wp14:editId="5C7E9244">
          <wp:extent cx="364242" cy="475335"/>
          <wp:effectExtent l="0" t="0" r="0" b="127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ZRSS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126" cy="507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EBE3488" wp14:editId="61F252F2">
          <wp:extent cx="1219200" cy="232307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DDSZ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050" cy="238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BD20AA">
      <w:rPr>
        <w:noProof/>
        <w:lang w:eastAsia="sl-SI"/>
      </w:rPr>
      <w:drawing>
        <wp:inline distT="0" distB="0" distL="0" distR="0" wp14:anchorId="6943E3D2" wp14:editId="6C87E7FF">
          <wp:extent cx="1063195" cy="407442"/>
          <wp:effectExtent l="0" t="0" r="3810" b="0"/>
          <wp:docPr id="1" name="Slika 1" descr="http://www.sklad-kadri.si/fileadmin/dokumenti/Logotipi/SRIP_logo_final_RGB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klad-kadri.si/fileadmin/dokumenti/Logotipi/SRIP_logo_final_RGB_SLO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830" cy="410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F34A5A1" wp14:editId="51C2F6F1">
          <wp:extent cx="771525" cy="415552"/>
          <wp:effectExtent l="0" t="0" r="0" b="381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ZRSZ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51" cy="42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l-SI"/>
      </w:rPr>
      <w:drawing>
        <wp:inline distT="0" distB="0" distL="0" distR="0" wp14:anchorId="3F88534B" wp14:editId="6BF0329E">
          <wp:extent cx="1085850" cy="169136"/>
          <wp:effectExtent l="0" t="0" r="0" b="254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KOS.jp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60" cy="17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78D2D773" wp14:editId="4BA040F3">
          <wp:extent cx="1314450" cy="277607"/>
          <wp:effectExtent l="0" t="0" r="0" b="8255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GRT_slo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934" cy="290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DE892F3" wp14:editId="3E5A6AF7">
          <wp:extent cx="1685925" cy="235750"/>
          <wp:effectExtent l="0" t="0" r="0" b="0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VRK.jpg"/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599" cy="244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0FA" w:rsidRPr="0070682E" w:rsidRDefault="00DB50FA" w:rsidP="00DB50FA">
    <w:pPr>
      <w:pStyle w:val="Glava"/>
    </w:pPr>
  </w:p>
  <w:p w:rsidR="00DB50FA" w:rsidRDefault="00DB50FA">
    <w:pPr>
      <w:pStyle w:val="Glava"/>
    </w:pPr>
  </w:p>
  <w:p w:rsidR="00DB50FA" w:rsidRDefault="00DB50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525"/>
    <w:multiLevelType w:val="hybridMultilevel"/>
    <w:tmpl w:val="A83820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14B2F"/>
    <w:multiLevelType w:val="hybridMultilevel"/>
    <w:tmpl w:val="112E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17C57"/>
    <w:multiLevelType w:val="hybridMultilevel"/>
    <w:tmpl w:val="C1A45848"/>
    <w:lvl w:ilvl="0" w:tplc="51ACBE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15AC5"/>
    <w:multiLevelType w:val="hybridMultilevel"/>
    <w:tmpl w:val="01B2639C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A57D7"/>
    <w:multiLevelType w:val="hybridMultilevel"/>
    <w:tmpl w:val="8962E840"/>
    <w:lvl w:ilvl="0" w:tplc="C2C80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5B15"/>
    <w:multiLevelType w:val="hybridMultilevel"/>
    <w:tmpl w:val="518CF1B2"/>
    <w:lvl w:ilvl="0" w:tplc="9D2E5D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B44AB"/>
    <w:multiLevelType w:val="hybridMultilevel"/>
    <w:tmpl w:val="33D031EE"/>
    <w:lvl w:ilvl="0" w:tplc="5F3283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91"/>
    <w:rsid w:val="000039C0"/>
    <w:rsid w:val="00017816"/>
    <w:rsid w:val="00020CD0"/>
    <w:rsid w:val="00032824"/>
    <w:rsid w:val="00056559"/>
    <w:rsid w:val="000741B8"/>
    <w:rsid w:val="00094ADD"/>
    <w:rsid w:val="00111A1D"/>
    <w:rsid w:val="00113E34"/>
    <w:rsid w:val="00125461"/>
    <w:rsid w:val="001869A3"/>
    <w:rsid w:val="001E74E2"/>
    <w:rsid w:val="00206365"/>
    <w:rsid w:val="00234098"/>
    <w:rsid w:val="002700A8"/>
    <w:rsid w:val="002A7EB7"/>
    <w:rsid w:val="003006C2"/>
    <w:rsid w:val="0034684E"/>
    <w:rsid w:val="003808AC"/>
    <w:rsid w:val="00387227"/>
    <w:rsid w:val="0043043C"/>
    <w:rsid w:val="00436D88"/>
    <w:rsid w:val="004408AF"/>
    <w:rsid w:val="00465FE4"/>
    <w:rsid w:val="00481EEF"/>
    <w:rsid w:val="004C66D2"/>
    <w:rsid w:val="0051255E"/>
    <w:rsid w:val="00533054"/>
    <w:rsid w:val="005459D9"/>
    <w:rsid w:val="005774F5"/>
    <w:rsid w:val="00592066"/>
    <w:rsid w:val="005D7691"/>
    <w:rsid w:val="0060694F"/>
    <w:rsid w:val="0061722C"/>
    <w:rsid w:val="0063279D"/>
    <w:rsid w:val="006510CD"/>
    <w:rsid w:val="006B108F"/>
    <w:rsid w:val="006D2378"/>
    <w:rsid w:val="006D5E15"/>
    <w:rsid w:val="006F45F1"/>
    <w:rsid w:val="006F5C1D"/>
    <w:rsid w:val="00754FA2"/>
    <w:rsid w:val="007E5CE2"/>
    <w:rsid w:val="00813233"/>
    <w:rsid w:val="008201C7"/>
    <w:rsid w:val="00826023"/>
    <w:rsid w:val="00916B71"/>
    <w:rsid w:val="009326F3"/>
    <w:rsid w:val="00937C25"/>
    <w:rsid w:val="00953A44"/>
    <w:rsid w:val="0097664F"/>
    <w:rsid w:val="009C5B0A"/>
    <w:rsid w:val="00A224C3"/>
    <w:rsid w:val="00A62AC8"/>
    <w:rsid w:val="00AA28B8"/>
    <w:rsid w:val="00AB1EF8"/>
    <w:rsid w:val="00AB2B5C"/>
    <w:rsid w:val="00AD2165"/>
    <w:rsid w:val="00AE068A"/>
    <w:rsid w:val="00AE74E2"/>
    <w:rsid w:val="00B22D8C"/>
    <w:rsid w:val="00B568AD"/>
    <w:rsid w:val="00B73702"/>
    <w:rsid w:val="00B83594"/>
    <w:rsid w:val="00B9400D"/>
    <w:rsid w:val="00B96C9E"/>
    <w:rsid w:val="00BA45AE"/>
    <w:rsid w:val="00BD20AA"/>
    <w:rsid w:val="00C04D0B"/>
    <w:rsid w:val="00C105FC"/>
    <w:rsid w:val="00C146A9"/>
    <w:rsid w:val="00C21CC4"/>
    <w:rsid w:val="00C2519B"/>
    <w:rsid w:val="00D26088"/>
    <w:rsid w:val="00D503AD"/>
    <w:rsid w:val="00D65227"/>
    <w:rsid w:val="00D91449"/>
    <w:rsid w:val="00D931F8"/>
    <w:rsid w:val="00DB50FA"/>
    <w:rsid w:val="00DB543A"/>
    <w:rsid w:val="00DB79DF"/>
    <w:rsid w:val="00E1759E"/>
    <w:rsid w:val="00E36B0B"/>
    <w:rsid w:val="00E558BF"/>
    <w:rsid w:val="00E751C0"/>
    <w:rsid w:val="00E979C8"/>
    <w:rsid w:val="00EA4C94"/>
    <w:rsid w:val="00EC05A2"/>
    <w:rsid w:val="00EE3DF9"/>
    <w:rsid w:val="00EE673E"/>
    <w:rsid w:val="00EF3E37"/>
    <w:rsid w:val="00F02E6C"/>
    <w:rsid w:val="00F03203"/>
    <w:rsid w:val="00F06E51"/>
    <w:rsid w:val="00F12F6B"/>
    <w:rsid w:val="00F26F5B"/>
    <w:rsid w:val="00F4305A"/>
    <w:rsid w:val="00F84BF4"/>
    <w:rsid w:val="00FD616D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B6A1F-149C-46C6-8D51-76FD2FCF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9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5E1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50FA"/>
  </w:style>
  <w:style w:type="paragraph" w:styleId="Noga">
    <w:name w:val="footer"/>
    <w:basedOn w:val="Navaden"/>
    <w:link w:val="NogaZnak"/>
    <w:uiPriority w:val="99"/>
    <w:unhideWhenUsed/>
    <w:rsid w:val="00DB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50FA"/>
  </w:style>
  <w:style w:type="table" w:styleId="Tabelamrea">
    <w:name w:val="Table Grid"/>
    <w:basedOn w:val="Navadnatabela"/>
    <w:uiPriority w:val="39"/>
    <w:rsid w:val="00D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E3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lad-kadri.si/si/razpisi-in-objave/novica/n/pridruzite-se-nam-na-delavnici-vodstveni-activity-igra-za-odgovorne-in-strastne-ljud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edefop.europa.eu/en/toolkits/resources-guid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lad-kadri.si/si/razvoj-kadrov/kompetencni-centri-za-razvoj-kadrov-koc/kompetentna-slovenija-2017-2018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gif"/><Relationship Id="rId10" Type="http://schemas.openxmlformats.org/officeDocument/2006/relationships/image" Target="media/image10.jpg"/><Relationship Id="rId4" Type="http://schemas.openxmlformats.org/officeDocument/2006/relationships/image" Target="media/image4.jpg"/><Relationship Id="rId9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hal\Documents\Officeove%20predloge%20po%20meri\Zapisnik%20skupine%20VKO%20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820F-0055-4678-8CAD-8C813761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 skupine VKO novi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Lovšin</dc:creator>
  <cp:lastModifiedBy>andraz.ravnikar@gmail.com</cp:lastModifiedBy>
  <cp:revision>2</cp:revision>
  <cp:lastPrinted>2018-03-09T07:24:00Z</cp:lastPrinted>
  <dcterms:created xsi:type="dcterms:W3CDTF">2018-09-28T07:29:00Z</dcterms:created>
  <dcterms:modified xsi:type="dcterms:W3CDTF">2018-09-28T07:29:00Z</dcterms:modified>
</cp:coreProperties>
</file>